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565B60" w:rsidP="00705792" w14:paraId="594C385A" w14:textId="77777777">
      <w:pPr>
        <w:ind w:right="0"/>
      </w:pPr>
      <w:r w:rsidRPr="00FE5521">
        <w:rPr>
          <w:rFonts w:cs="Courier New"/>
          <w:b/>
          <w:szCs w:val="24"/>
        </w:rPr>
        <w:t>2026.</w:t>
      </w:r>
      <w:r>
        <w:rPr>
          <w:rFonts w:cs="Courier New"/>
          <w:b/>
          <w:szCs w:val="24"/>
        </w:rPr>
        <w:t> </w:t>
      </w:r>
      <w:r w:rsidRPr="00FE5521">
        <w:rPr>
          <w:rFonts w:cs="Courier New"/>
          <w:b/>
          <w:szCs w:val="24"/>
        </w:rPr>
        <w:t>gada 30.</w:t>
      </w:r>
      <w:r>
        <w:rPr>
          <w:rFonts w:cs="Courier New"/>
          <w:b/>
          <w:szCs w:val="24"/>
        </w:rPr>
        <w:t> </w:t>
      </w:r>
      <w:r w:rsidRPr="00FE5521">
        <w:rPr>
          <w:rFonts w:cs="Courier New"/>
          <w:b/>
          <w:szCs w:val="24"/>
        </w:rPr>
        <w:t>aprīlī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sidR="00FF0123">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TND/1-1.1/26/195</w:t>
      </w:r>
      <w:r w:rsidRPr="00817095" w:rsidR="00122F7B">
        <w:t xml:space="preserve"> </w:t>
      </w:r>
    </w:p>
    <w:p w:rsidR="00705792" w:rsidRPr="006F21A1" w:rsidP="00565B60" w14:paraId="18445AD4" w14:textId="05E082B4">
      <w:pPr>
        <w:ind w:right="0"/>
        <w:jc w:val="right"/>
        <w:rPr>
          <w:rFonts w:eastAsia="Times New Roman" w:cs="Times New Roman"/>
          <w:b/>
          <w:szCs w:val="24"/>
          <w:lang w:eastAsia="lv-LV"/>
        </w:rPr>
      </w:pPr>
      <w:r w:rsidRPr="00817095">
        <w:t>(prot.</w:t>
      </w:r>
      <w:r w:rsidR="00565B60">
        <w:t> </w:t>
      </w:r>
      <w:r w:rsidRPr="00FB765B" w:rsidR="005E5431">
        <w:rPr>
          <w:rFonts w:eastAsia="Times New Roman" w:cs="Times New Roman"/>
          <w:szCs w:val="24"/>
          <w:lang w:eastAsia="lv-LV"/>
        </w:rPr>
        <w:t>Nr.</w:t>
      </w:r>
      <w:r w:rsidR="00565B60">
        <w:rPr>
          <w:rFonts w:eastAsia="Times New Roman" w:cs="Times New Roman"/>
          <w:szCs w:val="24"/>
          <w:lang w:eastAsia="lv-LV"/>
        </w:rPr>
        <w:t> </w:t>
      </w:r>
      <w:r w:rsidRPr="001D0464" w:rsidR="005E5431">
        <w:rPr>
          <w:rFonts w:eastAsia="Times New Roman" w:cs="Times New Roman"/>
          <w:szCs w:val="24"/>
          <w:lang w:eastAsia="lv-LV"/>
        </w:rPr>
        <w:t>4</w:t>
      </w:r>
      <w:r w:rsidR="00565B60">
        <w:rPr>
          <w:rFonts w:eastAsia="Times New Roman" w:cs="Times New Roman"/>
          <w:szCs w:val="24"/>
          <w:lang w:eastAsia="lv-LV"/>
        </w:rPr>
        <w:t>,</w:t>
      </w:r>
      <w:r w:rsidR="003D7985">
        <w:rPr>
          <w:rFonts w:eastAsia="Times New Roman" w:cs="Times New Roman"/>
          <w:szCs w:val="24"/>
          <w:lang w:eastAsia="lv-LV"/>
        </w:rPr>
        <w:t xml:space="preserve"> </w:t>
      </w:r>
      <w:r w:rsidR="00565B60">
        <w:rPr>
          <w:rFonts w:eastAsia="Times New Roman" w:cs="Times New Roman"/>
          <w:szCs w:val="24"/>
          <w:lang w:eastAsia="lv-LV"/>
        </w:rPr>
        <w:t>33</w:t>
      </w:r>
      <w:r w:rsidRPr="00FB765B" w:rsidR="005E5431">
        <w:rPr>
          <w:rFonts w:eastAsia="Times New Roman" w:cs="Times New Roman"/>
          <w:szCs w:val="24"/>
          <w:lang w:eastAsia="lv-LV"/>
        </w:rPr>
        <w:t>.</w:t>
      </w:r>
      <w:r w:rsidR="00565B60">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727BE7" w14:paraId="386FFB19" w14:textId="485A5BA2">
      <w:pPr>
        <w:ind w:right="4109"/>
        <w:jc w:val="left"/>
        <w:rPr>
          <w:b/>
          <w:szCs w:val="24"/>
        </w:rPr>
      </w:pPr>
      <w:r w:rsidRPr="0086136F">
        <w:rPr>
          <w:b/>
          <w:szCs w:val="24"/>
        </w:rPr>
        <w:t>Par pašvaldības nekustamā īpašuma “Stārķīši”, Džūkstes pagastā,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D827E3" w:rsidRPr="00D827E3" w:rsidP="00D827E3" w14:paraId="4598226F" w14:textId="77777777">
      <w:pPr>
        <w:suppressAutoHyphens/>
        <w:autoSpaceDN w:val="0"/>
        <w:ind w:right="0" w:firstLine="720"/>
        <w:textAlignment w:val="baseline"/>
        <w:rPr>
          <w:rFonts w:eastAsia="Times New Roman" w:cs="Times New Roman"/>
          <w:szCs w:val="24"/>
        </w:rPr>
      </w:pPr>
      <w:r w:rsidRPr="00D827E3">
        <w:rPr>
          <w:rFonts w:eastAsia="Times New Roman" w:cs="Times New Roman"/>
          <w:szCs w:val="24"/>
        </w:rPr>
        <w:t>Nekustamais īpašums “Stārķīši”, Džūkstes pagastā, Tukuma novadā, kadastra numurs 9048 003 0374 (turpmāk – Nekustamais īpašums), ir Tukuma novada pašvaldības (turpmāk – pašvaldība) īpašums, reģistrēts Zemgales rajona tiesas Džūkstes pagasta zemesgrāmatas nodalījumā Nr. 100000582242. Nekustamais īpašums sastāv no neapbūvētas zemes vienības 1,02 ha platībā ar kadastra apzīmējumu 9048 003 0220, kur galvenais lietošanas mērķis – zeme, uz kuras galvenā saimnieciskā darbība ir lauksaimniecība (NĪLM 0101).</w:t>
      </w:r>
    </w:p>
    <w:p w:rsidR="00D827E3" w:rsidRPr="00D827E3" w:rsidP="00D827E3" w14:paraId="786DCE5E" w14:textId="77777777">
      <w:pPr>
        <w:suppressAutoHyphens/>
        <w:autoSpaceDN w:val="0"/>
        <w:ind w:right="0" w:firstLine="720"/>
        <w:textAlignment w:val="baseline"/>
        <w:rPr>
          <w:rFonts w:eastAsia="Times New Roman" w:cs="Times New Roman"/>
          <w:szCs w:val="24"/>
        </w:rPr>
      </w:pPr>
      <w:r w:rsidRPr="00D827E3">
        <w:rPr>
          <w:rFonts w:eastAsia="Times New Roman" w:cs="Times New Roman"/>
          <w:szCs w:val="24"/>
        </w:rPr>
        <w:t xml:space="preserve">Pašvaldībai nav nepieciešams saglabāt īpašumā Nekustamo īpašumu pašvaldības funkciju veikšanai. </w:t>
      </w:r>
    </w:p>
    <w:p w:rsidR="00D827E3" w:rsidRPr="00D827E3" w:rsidP="00D827E3" w14:paraId="2792E862" w14:textId="77777777">
      <w:pPr>
        <w:ind w:right="0" w:firstLine="720"/>
        <w:rPr>
          <w:rFonts w:eastAsia="Times New Roman" w:cs="Times New Roman"/>
          <w:i/>
          <w:szCs w:val="24"/>
          <w:lang w:eastAsia="lv-LV" w:bidi="lo-LA"/>
        </w:rPr>
      </w:pPr>
      <w:r w:rsidRPr="00D827E3">
        <w:rPr>
          <w:rFonts w:eastAsia="Times New Roman" w:cs="Times New Roman"/>
          <w:szCs w:val="24"/>
          <w:lang w:eastAsia="lv-LV" w:bidi="lo-LA"/>
        </w:rPr>
        <w:t xml:space="preserve">Publiskas personas mantas atsavināšanas likuma 3. panta otrā daļa noteic, ka </w:t>
      </w:r>
      <w:r w:rsidRPr="00D827E3">
        <w:rPr>
          <w:rFonts w:eastAsia="Times New Roman" w:cs="Times New Roman"/>
          <w:i/>
          <w:iCs/>
          <w:szCs w:val="24"/>
          <w:lang w:eastAsia="lv-LV" w:bidi="lo-LA"/>
        </w:rPr>
        <w:t>pu</w:t>
      </w:r>
      <w:r w:rsidRPr="00D827E3">
        <w:rPr>
          <w:rFonts w:eastAsia="Times New Roman" w:cs="Times New Roman"/>
          <w:i/>
          <w:szCs w:val="24"/>
          <w:lang w:eastAsia="lv-LV" w:bidi="lo-LA"/>
        </w:rPr>
        <w:t>blisku personu mantas atsavināšanas pamatveids ir mantas pārdošana izsolē</w:t>
      </w:r>
      <w:r w:rsidRPr="00727BE7">
        <w:rPr>
          <w:rFonts w:eastAsia="Times New Roman" w:cs="Times New Roman"/>
          <w:iCs/>
          <w:szCs w:val="24"/>
          <w:lang w:eastAsia="lv-LV" w:bidi="lo-LA"/>
        </w:rPr>
        <w:t>,</w:t>
      </w:r>
      <w:r w:rsidRPr="00D827E3">
        <w:rPr>
          <w:rFonts w:eastAsia="Times New Roman" w:cs="Times New Roman"/>
          <w:i/>
          <w:szCs w:val="24"/>
          <w:lang w:eastAsia="lv-LV" w:bidi="lo-LA"/>
        </w:rPr>
        <w:t xml:space="preserve"> </w:t>
      </w:r>
      <w:r w:rsidRPr="00D827E3">
        <w:rPr>
          <w:rFonts w:eastAsia="Times New Roman" w:cs="Times New Roman"/>
          <w:szCs w:val="24"/>
          <w:lang w:eastAsia="lv-LV" w:bidi="lo-LA"/>
        </w:rPr>
        <w:t xml:space="preserve">4. panta pirmā daļa noteic, ka </w:t>
      </w:r>
      <w:r w:rsidRPr="00D827E3">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D827E3">
        <w:rPr>
          <w:rFonts w:eastAsia="Times New Roman" w:cs="Times New Roman"/>
          <w:szCs w:val="24"/>
          <w:lang w:eastAsia="lv-LV" w:bidi="lo-LA"/>
        </w:rPr>
        <w:t xml:space="preserve">, 5. panta pirmā daļa noteic, ka </w:t>
      </w:r>
      <w:r w:rsidRPr="00D827E3">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D827E3">
        <w:rPr>
          <w:rFonts w:eastAsia="Times New Roman" w:cs="Times New Roman"/>
          <w:szCs w:val="24"/>
          <w:lang w:eastAsia="lv-LV" w:bidi="lo-LA"/>
        </w:rPr>
        <w:t xml:space="preserve">9. panta otrā daļa noteic, ka </w:t>
      </w:r>
      <w:r w:rsidRPr="00D827E3">
        <w:rPr>
          <w:rFonts w:eastAsia="Times New Roman" w:cs="Times New Roman"/>
          <w:i/>
          <w:szCs w:val="24"/>
          <w:lang w:eastAsia="lv-LV" w:bidi="lo-LA"/>
        </w:rPr>
        <w:t xml:space="preserve">institūciju, kura organizē atvasinātas </w:t>
      </w:r>
      <w:r w:rsidRPr="00D827E3">
        <w:rPr>
          <w:rFonts w:eastAsia="Times New Roman" w:cs="Times New Roman"/>
          <w:i/>
          <w:szCs w:val="24"/>
          <w:lang w:eastAsia="lv-LV" w:bidi="lo-LA"/>
        </w:rPr>
        <w:t>publiskas personas nekustamā īpašuma atsavināšanu, nosaka atvasinātas publiskas personas lēmējinstitūcija.</w:t>
      </w:r>
    </w:p>
    <w:p w:rsidR="00D827E3" w:rsidRPr="00D827E3" w:rsidP="00D827E3" w14:paraId="49E9B15F" w14:textId="77777777">
      <w:pPr>
        <w:ind w:right="0" w:firstLine="720"/>
        <w:rPr>
          <w:rFonts w:eastAsia="Calibri" w:cs="Times New Roman"/>
          <w:szCs w:val="24"/>
        </w:rPr>
      </w:pPr>
      <w:r w:rsidRPr="00D827E3">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D827E3" w:rsidRPr="00C337A5" w:rsidP="00D827E3" w14:paraId="25466513" w14:textId="5CE135CB">
      <w:pPr>
        <w:suppressAutoHyphens/>
        <w:ind w:right="5" w:firstLine="720"/>
        <w:rPr>
          <w:rFonts w:eastAsia="Calibri" w:cs="Times New Roman"/>
          <w:kern w:val="2"/>
          <w:szCs w:val="24"/>
          <w:lang w:eastAsia="lo-LA" w:bidi="lo-LA"/>
        </w:rPr>
      </w:pPr>
      <w:r w:rsidRPr="00C337A5">
        <w:rPr>
          <w:rFonts w:eastAsia="Calibri" w:cs="Times New Roman"/>
          <w:kern w:val="2"/>
          <w:szCs w:val="24"/>
          <w:lang w:eastAsia="lo-LA" w:bidi="lo-LA"/>
        </w:rPr>
        <w:t xml:space="preserve">Publiskas personas mantas atsavināšanas likuma 1. panta pirmās daļas 6. punkts noteic, ka </w:t>
      </w:r>
      <w:r w:rsidRPr="00C337A5">
        <w:rPr>
          <w:rFonts w:eastAsia="Calibri" w:cs="Times New Roman"/>
          <w:i/>
          <w:iCs/>
          <w:szCs w:val="24"/>
          <w:shd w:val="clear" w:color="auto" w:fill="FFFFFF"/>
        </w:rPr>
        <w:t>nosacītā cena ir nekustamā īpašuma vērtība, kas noteikta atbilstoši</w:t>
      </w:r>
      <w:r w:rsidR="00C9533D">
        <w:rPr>
          <w:rFonts w:eastAsia="Calibri" w:cs="Times New Roman"/>
          <w:i/>
          <w:iCs/>
          <w:szCs w:val="24"/>
          <w:shd w:val="clear" w:color="auto" w:fill="FFFFFF"/>
        </w:rPr>
        <w:t xml:space="preserve"> </w:t>
      </w:r>
      <w:hyperlink r:id="rId6" w:tgtFrame="_blank" w:history="1">
        <w:r w:rsidRPr="00C337A5">
          <w:rPr>
            <w:rFonts w:eastAsia="Calibri" w:cs="Times New Roman"/>
            <w:i/>
            <w:iCs/>
            <w:szCs w:val="24"/>
            <w:shd w:val="clear" w:color="auto" w:fill="FFFFFF"/>
          </w:rPr>
          <w:t>Standartizācijas likumā</w:t>
        </w:r>
      </w:hyperlink>
      <w:r w:rsidR="00C9533D">
        <w:t xml:space="preserve"> </w:t>
      </w:r>
      <w:r w:rsidRPr="00C337A5">
        <w:rPr>
          <w:rFonts w:eastAsia="Calibri" w:cs="Times New Roman"/>
          <w:i/>
          <w:iCs/>
          <w:szCs w:val="24"/>
          <w:shd w:val="clear" w:color="auto" w:fill="FFFFFF"/>
        </w:rPr>
        <w:t>paredzētajā kārtībā apstiprinātajiem īpašuma vērtēšanas standartiem, vai kustamās mantas vērtība, kas noteikta atbilstoši</w:t>
      </w:r>
      <w:r w:rsidR="00C9533D">
        <w:rPr>
          <w:rFonts w:eastAsia="Calibri" w:cs="Times New Roman"/>
          <w:i/>
          <w:iCs/>
          <w:szCs w:val="24"/>
          <w:shd w:val="clear" w:color="auto" w:fill="FFFFFF"/>
        </w:rPr>
        <w:t xml:space="preserve"> </w:t>
      </w:r>
      <w:hyperlink r:id="rId6" w:tgtFrame="_blank" w:history="1">
        <w:r w:rsidRPr="00C337A5">
          <w:rPr>
            <w:rFonts w:eastAsia="Calibri" w:cs="Times New Roman"/>
            <w:i/>
            <w:iCs/>
            <w:szCs w:val="24"/>
            <w:shd w:val="clear" w:color="auto" w:fill="FFFFFF"/>
          </w:rPr>
          <w:t>Standartizācijas likumā</w:t>
        </w:r>
      </w:hyperlink>
      <w:r w:rsidR="00C9533D">
        <w:rPr>
          <w:rFonts w:eastAsia="Calibri" w:cs="Times New Roman"/>
          <w:i/>
          <w:iCs/>
          <w:szCs w:val="24"/>
          <w:shd w:val="clear" w:color="auto" w:fill="FFFFFF"/>
        </w:rPr>
        <w:t xml:space="preserve"> </w:t>
      </w:r>
      <w:r w:rsidRPr="00C337A5">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p>
    <w:p w:rsidR="00D827E3" w:rsidRPr="00D827E3" w:rsidP="00D827E3" w14:paraId="18A06265" w14:textId="3F053F86">
      <w:pPr>
        <w:suppressAutoHyphens/>
        <w:ind w:right="5" w:firstLine="720"/>
        <w:contextualSpacing/>
        <w:rPr>
          <w:rFonts w:eastAsia="Times New Roman" w:cs="Times New Roman"/>
          <w:kern w:val="2"/>
          <w:szCs w:val="24"/>
          <w:lang w:eastAsia="ar-SA"/>
        </w:rPr>
      </w:pPr>
      <w:r w:rsidRPr="00C337A5">
        <w:rPr>
          <w:rFonts w:eastAsia="Times New Roman" w:cs="Times New Roman"/>
          <w:szCs w:val="24"/>
          <w:lang w:eastAsia="lv-LV"/>
        </w:rPr>
        <w:t xml:space="preserve">Saskaņā ar sertificēta vērtētāja sabiedrības ar ierobežotu atbildību “VCG Ekspertu grupa”, </w:t>
      </w:r>
      <w:r w:rsidRPr="00D827E3">
        <w:rPr>
          <w:rFonts w:eastAsia="Times New Roman" w:cs="Times New Roman"/>
          <w:szCs w:val="24"/>
          <w:lang w:eastAsia="lv-LV"/>
        </w:rPr>
        <w:t xml:space="preserve">reģistrācijas Nr. 40003554692, turpmāk – SIA “VCG Ekspertu grupa” (īpašumu vērtētājs Guntars </w:t>
      </w:r>
      <w:r w:rsidRPr="00D827E3">
        <w:rPr>
          <w:rFonts w:eastAsia="Times New Roman" w:cs="Times New Roman"/>
          <w:szCs w:val="24"/>
          <w:lang w:eastAsia="lv-LV"/>
        </w:rPr>
        <w:t>Pugejs</w:t>
      </w:r>
      <w:r w:rsidRPr="00D827E3">
        <w:rPr>
          <w:rFonts w:eastAsia="Times New Roman" w:cs="Times New Roman"/>
          <w:szCs w:val="24"/>
          <w:lang w:eastAsia="lv-LV"/>
        </w:rPr>
        <w:t>, profesionālās kvalifikācijas sertifikāts Nr. 79) 2026. gada 9. marta atzinumu Nekustamā īpašuma tirgus vērtība ir 7 600,00</w:t>
      </w:r>
      <w:r>
        <w:rPr>
          <w:rFonts w:eastAsia="Times New Roman" w:cs="Times New Roman"/>
          <w:szCs w:val="24"/>
          <w:lang w:eastAsia="lv-LV"/>
        </w:rPr>
        <w:t> </w:t>
      </w:r>
      <w:r w:rsidRPr="00D827E3">
        <w:rPr>
          <w:rFonts w:eastAsia="Times New Roman" w:cs="Times New Roman"/>
          <w:i/>
          <w:iCs/>
          <w:szCs w:val="24"/>
          <w:lang w:eastAsia="lv-LV"/>
        </w:rPr>
        <w:t>euro</w:t>
      </w:r>
      <w:r w:rsidRPr="00D827E3">
        <w:rPr>
          <w:rFonts w:eastAsia="Times New Roman" w:cs="Times New Roman"/>
          <w:szCs w:val="24"/>
          <w:lang w:eastAsia="lv-LV"/>
        </w:rPr>
        <w:t xml:space="preserve"> (septiņi tūkstoši seši simti </w:t>
      </w:r>
      <w:r w:rsidRPr="00D827E3">
        <w:rPr>
          <w:rFonts w:eastAsia="Times New Roman" w:cs="Times New Roman"/>
          <w:i/>
          <w:iCs/>
          <w:szCs w:val="24"/>
          <w:lang w:eastAsia="lv-LV"/>
        </w:rPr>
        <w:t>euro</w:t>
      </w:r>
      <w:r w:rsidRPr="00D827E3">
        <w:rPr>
          <w:rFonts w:eastAsia="Times New Roman" w:cs="Times New Roman"/>
          <w:szCs w:val="24"/>
          <w:lang w:eastAsia="lv-LV"/>
        </w:rPr>
        <w:t xml:space="preserve">), kas ir </w:t>
      </w:r>
      <w:r w:rsidRPr="00727BE7">
        <w:rPr>
          <w:rFonts w:eastAsia="Times New Roman" w:cs="Times New Roman"/>
          <w:szCs w:val="24"/>
          <w:lang w:eastAsia="lv-LV"/>
        </w:rPr>
        <w:t xml:space="preserve">augstāka </w:t>
      </w:r>
      <w:r w:rsidRPr="00D827E3">
        <w:rPr>
          <w:rFonts w:eastAsia="Times New Roman" w:cs="Times New Roman"/>
          <w:szCs w:val="24"/>
          <w:lang w:eastAsia="lv-LV"/>
        </w:rPr>
        <w:t>par Nekustamā īpašuma universālo kadastrālo vērtību</w:t>
      </w:r>
      <w:r w:rsidRPr="00C337A5">
        <w:rPr>
          <w:rFonts w:eastAsia="Times New Roman" w:cs="Arial Unicode MS"/>
          <w:szCs w:val="24"/>
          <w:lang w:eastAsia="lv-LV" w:bidi="lo-LA"/>
        </w:rPr>
        <w:t xml:space="preserve"> </w:t>
      </w:r>
      <w:r w:rsidRPr="00D827E3">
        <w:rPr>
          <w:rFonts w:eastAsia="Times New Roman" w:cs="Times New Roman"/>
          <w:szCs w:val="24"/>
          <w:lang w:eastAsia="lv-LV"/>
        </w:rPr>
        <w:t>5 875,00</w:t>
      </w:r>
      <w:r w:rsidR="00C9533D">
        <w:rPr>
          <w:rFonts w:eastAsia="Times New Roman" w:cs="Times New Roman"/>
          <w:szCs w:val="24"/>
          <w:lang w:eastAsia="lv-LV"/>
        </w:rPr>
        <w:t> </w:t>
      </w:r>
      <w:r w:rsidRPr="00D827E3">
        <w:rPr>
          <w:rFonts w:eastAsia="Times New Roman" w:cs="Times New Roman"/>
          <w:i/>
          <w:iCs/>
          <w:szCs w:val="24"/>
          <w:lang w:eastAsia="lv-LV"/>
        </w:rPr>
        <w:t>euro</w:t>
      </w:r>
      <w:r w:rsidRPr="00D827E3">
        <w:rPr>
          <w:rFonts w:eastAsia="Times New Roman" w:cs="Times New Roman"/>
          <w:i/>
          <w:iCs/>
          <w:szCs w:val="24"/>
          <w:lang w:eastAsia="lv-LV"/>
        </w:rPr>
        <w:t xml:space="preserve"> </w:t>
      </w:r>
      <w:r w:rsidRPr="00D827E3">
        <w:rPr>
          <w:rFonts w:eastAsia="Times New Roman" w:cs="Times New Roman"/>
          <w:szCs w:val="24"/>
          <w:lang w:eastAsia="lv-LV"/>
        </w:rPr>
        <w:t>(pieci tūkstoši astoņi simti septiņdesmit pieci</w:t>
      </w:r>
      <w:r w:rsidRPr="00D827E3">
        <w:rPr>
          <w:rFonts w:eastAsia="Times New Roman" w:cs="Times New Roman"/>
          <w:i/>
          <w:iCs/>
          <w:szCs w:val="24"/>
          <w:lang w:eastAsia="lv-LV"/>
        </w:rPr>
        <w:t xml:space="preserve"> </w:t>
      </w:r>
      <w:r w:rsidRPr="00D827E3">
        <w:rPr>
          <w:rFonts w:eastAsia="Times New Roman" w:cs="Times New Roman"/>
          <w:i/>
          <w:iCs/>
          <w:szCs w:val="24"/>
          <w:lang w:eastAsia="lv-LV"/>
        </w:rPr>
        <w:t>euro</w:t>
      </w:r>
      <w:r w:rsidRPr="00D827E3">
        <w:rPr>
          <w:rFonts w:eastAsia="Times New Roman" w:cs="Times New Roman"/>
          <w:i/>
          <w:iCs/>
          <w:szCs w:val="24"/>
          <w:lang w:eastAsia="lv-LV"/>
        </w:rPr>
        <w:t xml:space="preserve">). </w:t>
      </w:r>
      <w:r w:rsidRPr="00D827E3">
        <w:rPr>
          <w:rFonts w:eastAsia="Times New Roman" w:cs="Times New Roman"/>
          <w:szCs w:val="24"/>
          <w:lang w:eastAsia="lv-LV"/>
        </w:rPr>
        <w:t>Pašvaldības</w:t>
      </w:r>
      <w:r w:rsidRPr="00D827E3">
        <w:rPr>
          <w:rFonts w:eastAsia="Times New Roman" w:cs="Times New Roman"/>
          <w:kern w:val="2"/>
          <w:szCs w:val="24"/>
          <w:lang w:eastAsia="ar-SA"/>
        </w:rPr>
        <w:t xml:space="preserve"> izdevumi par SIA</w:t>
      </w:r>
      <w:r>
        <w:rPr>
          <w:rFonts w:eastAsia="Times New Roman" w:cs="Times New Roman"/>
          <w:kern w:val="2"/>
          <w:szCs w:val="24"/>
          <w:lang w:eastAsia="ar-SA"/>
        </w:rPr>
        <w:t> </w:t>
      </w:r>
      <w:r w:rsidRPr="00D827E3">
        <w:rPr>
          <w:rFonts w:eastAsia="Times New Roman" w:cs="Times New Roman"/>
          <w:kern w:val="2"/>
          <w:szCs w:val="24"/>
          <w:lang w:eastAsia="ar-SA"/>
        </w:rPr>
        <w:t>“VCG Ekspertu grupa” pakalpojumiem ir 242,00</w:t>
      </w:r>
      <w:r w:rsidR="00C9533D">
        <w:rPr>
          <w:rFonts w:eastAsia="Times New Roman" w:cs="Times New Roman"/>
          <w:kern w:val="2"/>
          <w:szCs w:val="24"/>
          <w:lang w:eastAsia="ar-SA"/>
        </w:rPr>
        <w:t> </w:t>
      </w:r>
      <w:r w:rsidRPr="00D827E3">
        <w:rPr>
          <w:rFonts w:eastAsia="Times New Roman" w:cs="Times New Roman"/>
          <w:i/>
          <w:szCs w:val="24"/>
          <w:lang w:eastAsia="ar-SA"/>
        </w:rPr>
        <w:t>euro</w:t>
      </w:r>
      <w:r w:rsidRPr="00D827E3">
        <w:rPr>
          <w:rFonts w:eastAsia="Times New Roman" w:cs="Times New Roman"/>
          <w:i/>
          <w:szCs w:val="24"/>
          <w:lang w:eastAsia="ar-SA"/>
        </w:rPr>
        <w:t xml:space="preserve"> </w:t>
      </w:r>
      <w:r w:rsidRPr="00D827E3">
        <w:rPr>
          <w:rFonts w:eastAsia="Times New Roman" w:cs="Times New Roman"/>
          <w:szCs w:val="24"/>
          <w:lang w:eastAsia="ar-SA"/>
        </w:rPr>
        <w:t xml:space="preserve">(divi simti četrdesmit divi </w:t>
      </w:r>
      <w:r w:rsidRPr="00D827E3">
        <w:rPr>
          <w:rFonts w:eastAsia="Times New Roman" w:cs="Times New Roman"/>
          <w:i/>
          <w:szCs w:val="24"/>
          <w:lang w:eastAsia="ar-SA"/>
        </w:rPr>
        <w:t>eur</w:t>
      </w:r>
      <w:r w:rsidRPr="00D827E3">
        <w:rPr>
          <w:rFonts w:eastAsia="Times New Roman" w:cs="Times New Roman"/>
          <w:i/>
          <w:szCs w:val="24"/>
          <w:lang w:eastAsia="ar-SA"/>
        </w:rPr>
        <w:t>o</w:t>
      </w:r>
      <w:r w:rsidRPr="00D827E3">
        <w:rPr>
          <w:rFonts w:eastAsia="Times New Roman" w:cs="Times New Roman"/>
          <w:kern w:val="2"/>
          <w:szCs w:val="24"/>
          <w:lang w:eastAsia="ar-SA"/>
        </w:rPr>
        <w:t>).</w:t>
      </w:r>
    </w:p>
    <w:p w:rsidR="00D827E3" w:rsidRPr="00D827E3" w:rsidP="00D827E3" w14:paraId="5BEB8406" w14:textId="4762C2AF">
      <w:pPr>
        <w:suppressAutoHyphens/>
        <w:ind w:right="5" w:firstLine="720"/>
        <w:contextualSpacing/>
        <w:rPr>
          <w:rFonts w:eastAsia="Calibri" w:cs="Times New Roman"/>
          <w:szCs w:val="24"/>
          <w:lang w:eastAsia="lv-LV"/>
        </w:rPr>
      </w:pPr>
      <w:r w:rsidRPr="00D827E3">
        <w:rPr>
          <w:rFonts w:eastAsia="Calibri" w:cs="Times New Roman"/>
          <w:szCs w:val="24"/>
          <w:lang w:eastAsia="lv-LV"/>
        </w:rPr>
        <w:t xml:space="preserve">Zemes vienības ar </w:t>
      </w:r>
      <w:r w:rsidRPr="00D827E3">
        <w:rPr>
          <w:rFonts w:eastAsia="Times New Roman" w:cs="Times New Roman"/>
          <w:szCs w:val="24"/>
          <w:lang w:eastAsia="lv-LV"/>
        </w:rPr>
        <w:t>kadastra apzīmējumu 9080 011 0220 galvenais izmantošanas veids ir lauksaimniecībā izmantojamā zeme.</w:t>
      </w:r>
      <w:r w:rsidRPr="00D827E3">
        <w:rPr>
          <w:rFonts w:eastAsia="Calibri" w:cs="Times New Roman"/>
          <w:szCs w:val="24"/>
          <w:lang w:eastAsia="lv-LV"/>
        </w:rPr>
        <w:t xml:space="preserve"> Izsoles noteikumos nepieciešams noteikt, ka izsoles </w:t>
      </w:r>
      <w:r w:rsidRPr="00D827E3">
        <w:rPr>
          <w:rFonts w:eastAsia="Calibri" w:cs="Times New Roman"/>
          <w:szCs w:val="24"/>
          <w:lang w:eastAsia="lv-LV"/>
        </w:rPr>
        <w:t>dalībniekam jāatbilst likuma “Par zemes privatizāciju lauku apvidos” 28. pant</w:t>
      </w:r>
      <w:r w:rsidR="00727BE7">
        <w:rPr>
          <w:rFonts w:eastAsia="Calibri" w:cs="Times New Roman"/>
          <w:szCs w:val="24"/>
          <w:lang w:eastAsia="lv-LV"/>
        </w:rPr>
        <w:t>ā</w:t>
      </w:r>
      <w:r w:rsidRPr="00D827E3">
        <w:rPr>
          <w:rFonts w:eastAsia="Calibri" w:cs="Times New Roman"/>
          <w:szCs w:val="24"/>
          <w:lang w:eastAsia="lv-LV"/>
        </w:rPr>
        <w:t xml:space="preserve"> un 28.</w:t>
      </w:r>
      <w:r w:rsidRPr="00D827E3">
        <w:rPr>
          <w:rFonts w:eastAsia="Calibri" w:cs="Times New Roman"/>
          <w:szCs w:val="24"/>
          <w:vertAlign w:val="superscript"/>
          <w:lang w:eastAsia="lv-LV"/>
        </w:rPr>
        <w:t>1</w:t>
      </w:r>
      <w:r w:rsidRPr="00D827E3">
        <w:rPr>
          <w:rFonts w:eastAsia="Calibri" w:cs="Times New Roman"/>
          <w:szCs w:val="24"/>
          <w:lang w:eastAsia="lv-LV"/>
        </w:rPr>
        <w:t> pantā noteiktajam darījuma subjektam, kas ir tiesīgs iegūt īpašumā Nekustamo īpašumu.</w:t>
      </w:r>
    </w:p>
    <w:p w:rsidR="00D827E3" w:rsidRPr="00D827E3" w:rsidP="00D827E3" w14:paraId="7534B105" w14:textId="77DF58F2">
      <w:pPr>
        <w:suppressAutoHyphens/>
        <w:autoSpaceDN w:val="0"/>
        <w:ind w:right="0" w:firstLine="720"/>
        <w:textAlignment w:val="baseline"/>
        <w:rPr>
          <w:rFonts w:eastAsia="Times New Roman" w:cs="Times New Roman"/>
          <w:szCs w:val="24"/>
          <w:lang w:eastAsia="lv-LV"/>
        </w:rPr>
      </w:pPr>
      <w:r w:rsidRPr="00D827E3">
        <w:rPr>
          <w:rFonts w:eastAsia="Times New Roman" w:cs="Times New Roman"/>
          <w:szCs w:val="24"/>
          <w:lang w:eastAsia="lv-LV"/>
        </w:rPr>
        <w:t>Nekustamais īpašums 1,02 ha platībā ar 2024. gada 1. aprīļa zemes nomas līgumu Nr. </w:t>
      </w:r>
      <w:r w:rsidRPr="00D827E3">
        <w:rPr>
          <w:rFonts w:eastAsia="Times New Roman" w:cs="Times New Roman"/>
          <w:szCs w:val="24"/>
          <w:lang w:eastAsia="lv-LV"/>
        </w:rPr>
        <w:t>DzP</w:t>
      </w:r>
      <w:r w:rsidRPr="00D827E3">
        <w:rPr>
          <w:rFonts w:eastAsia="Times New Roman" w:cs="Times New Roman"/>
          <w:szCs w:val="24"/>
          <w:lang w:eastAsia="lv-LV"/>
        </w:rPr>
        <w:t>/2-58.2.1/24/2 iznomāts juridiskai personai. Zemes nomas līguma termiņš ir 2029. gada 31. marts. Zemes nomas līgums nav reģistrēts Zemesgrāmatā.</w:t>
      </w:r>
    </w:p>
    <w:p w:rsidR="00D827E3" w:rsidRPr="00D827E3" w:rsidP="00D827E3" w14:paraId="0177FAAA" w14:textId="77777777">
      <w:pPr>
        <w:suppressAutoHyphens/>
        <w:ind w:right="49" w:firstLine="567"/>
        <w:rPr>
          <w:rFonts w:eastAsia="Times New Roman" w:cs="Times New Roman"/>
          <w:i/>
          <w:szCs w:val="24"/>
          <w:lang w:eastAsia="ar-SA"/>
        </w:rPr>
      </w:pPr>
      <w:r w:rsidRPr="00D827E3">
        <w:rPr>
          <w:rFonts w:eastAsia="Times New Roman" w:cs="Times New Roman"/>
          <w:szCs w:val="24"/>
          <w:lang w:eastAsia="ar-SA"/>
        </w:rPr>
        <w:t xml:space="preserve">Publiskas personas finanšu līdzekļu un mantas izšķērdēšanas novēršanas likuma 3. panta 2. punkts noteic, ka </w:t>
      </w:r>
      <w:r w:rsidRPr="00D827E3">
        <w:rPr>
          <w:rFonts w:eastAsia="Times New Roman" w:cs="Times New Roman"/>
          <w:i/>
          <w:iCs/>
          <w:szCs w:val="24"/>
          <w:lang w:eastAsia="ar-SA"/>
        </w:rPr>
        <w:t>p</w:t>
      </w:r>
      <w:r w:rsidRPr="00D827E3">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D827E3" w:rsidRPr="00D827E3" w:rsidP="00D827E3" w14:paraId="72D80A52" w14:textId="77777777">
      <w:pPr>
        <w:suppressAutoHyphens/>
        <w:ind w:right="49" w:firstLine="567"/>
        <w:rPr>
          <w:rFonts w:eastAsia="Times New Roman" w:cs="Times New Roman"/>
          <w:szCs w:val="24"/>
          <w:lang w:eastAsia="ar-SA"/>
        </w:rPr>
      </w:pPr>
      <w:r w:rsidRPr="00D827E3">
        <w:rPr>
          <w:rFonts w:eastAsia="Times New Roman" w:cs="Times New Roman"/>
          <w:szCs w:val="24"/>
          <w:lang w:eastAsia="ar-SA"/>
        </w:rPr>
        <w:t xml:space="preserve">Pamatojoties uz minēto, Tukuma novada domes </w:t>
      </w:r>
      <w:r w:rsidRPr="00D827E3">
        <w:rPr>
          <w:rFonts w:eastAsia="Times New Roman" w:cs="Times New Roman"/>
          <w:szCs w:val="24"/>
          <w:lang w:eastAsia="lv-LV"/>
        </w:rPr>
        <w:t xml:space="preserve">Īpašumu apsaimniekošanas un privatizācijas </w:t>
      </w:r>
      <w:r w:rsidRPr="00D827E3">
        <w:rPr>
          <w:rFonts w:eastAsia="Times New Roman" w:cs="Times New Roman"/>
          <w:szCs w:val="24"/>
          <w:lang w:eastAsia="lv-LV" w:bidi="lo-LA"/>
        </w:rPr>
        <w:t>komisija (turpmāk – komisija) 2026. gada 9. aprīļa sēdē ir sagatavojusi lēmuma projektu izskatīšanai Finanšu komitejā un Tukuma novada domes sēdē ar ierosinājumu</w:t>
      </w:r>
      <w:r w:rsidRPr="00D827E3">
        <w:rPr>
          <w:rFonts w:eastAsia="Times New Roman" w:cs="Times New Roman"/>
          <w:kern w:val="2"/>
          <w:szCs w:val="24"/>
          <w:lang w:eastAsia="ar-SA"/>
        </w:rPr>
        <w:t xml:space="preserve"> atsavināt Nekustamo īpašumu elektroniskā izsolē ar augšupejošu soli, iesakot noteikt izsoles sākumcenu (nosacīto cenu) 10 000,00 </w:t>
      </w:r>
      <w:r w:rsidRPr="00D827E3">
        <w:rPr>
          <w:rFonts w:eastAsia="Times New Roman" w:cs="Times New Roman"/>
          <w:i/>
          <w:kern w:val="2"/>
          <w:szCs w:val="24"/>
          <w:lang w:eastAsia="ar-SA"/>
        </w:rPr>
        <w:t>euro</w:t>
      </w:r>
      <w:r w:rsidRPr="00D827E3">
        <w:rPr>
          <w:rFonts w:eastAsia="Times New Roman" w:cs="Times New Roman"/>
          <w:kern w:val="2"/>
          <w:szCs w:val="24"/>
          <w:lang w:eastAsia="ar-SA"/>
        </w:rPr>
        <w:t xml:space="preserve"> (</w:t>
      </w:r>
      <w:bookmarkStart w:id="0" w:name="_Hlk174090731"/>
      <w:r w:rsidRPr="00D827E3">
        <w:rPr>
          <w:rFonts w:eastAsia="Times New Roman" w:cs="Times New Roman"/>
          <w:kern w:val="2"/>
          <w:szCs w:val="24"/>
          <w:lang w:eastAsia="ar-SA"/>
        </w:rPr>
        <w:t xml:space="preserve">desmit tūkstoši </w:t>
      </w:r>
      <w:r w:rsidRPr="00D827E3">
        <w:rPr>
          <w:rFonts w:eastAsia="Times New Roman" w:cs="Times New Roman"/>
          <w:i/>
          <w:szCs w:val="24"/>
          <w:lang w:eastAsia="ar-SA"/>
        </w:rPr>
        <w:t>euro</w:t>
      </w:r>
      <w:bookmarkEnd w:id="0"/>
      <w:r w:rsidRPr="00D827E3">
        <w:rPr>
          <w:rFonts w:eastAsia="Times New Roman" w:cs="Times New Roman"/>
          <w:szCs w:val="24"/>
          <w:lang w:eastAsia="ar-SA"/>
        </w:rPr>
        <w:t>).</w:t>
      </w:r>
    </w:p>
    <w:p w:rsidR="00D827E3" w:rsidRPr="00D827E3" w:rsidP="00D827E3" w14:paraId="6510DF54" w14:textId="73943FC2">
      <w:pPr>
        <w:spacing w:after="160"/>
        <w:ind w:right="0" w:firstLine="720"/>
        <w:rPr>
          <w:rFonts w:eastAsia="Times New Roman" w:cs="Times New Roman"/>
          <w:szCs w:val="24"/>
          <w:lang w:eastAsia="lv-LV" w:bidi="lo-LA"/>
        </w:rPr>
      </w:pPr>
      <w:r w:rsidRPr="00D827E3">
        <w:rPr>
          <w:rFonts w:eastAsia="Times New Roman" w:cs="Times New Roman"/>
          <w:szCs w:val="24"/>
          <w:lang w:eastAsia="lv-LV" w:bidi="lo-LA"/>
        </w:rPr>
        <w:t xml:space="preserve">Pamatojoties uz Pašvaldību likuma 10. panta pirmās daļas 16. punktu, 73. panta trešo un ceturto daļu, Publiskas personas mantas atsavināšanas likuma 3. panta pirmās daļas 1. punktu, 4. panta pirmo daļu, 5. panta pirmo daļu, 9. panta otro daļu un 10. pantu, </w:t>
      </w:r>
      <w:r w:rsidRPr="00D827E3">
        <w:rPr>
          <w:rFonts w:eastAsia="Times New Roman" w:cs="Times New Roman"/>
          <w:szCs w:val="24"/>
          <w:lang w:eastAsia="ar-SA"/>
        </w:rPr>
        <w:t>Publiskas personas finanšu līdzekļu un mantas izšķērdēšanas novēršanas likuma 3. panta 2. punktu,</w:t>
      </w:r>
      <w:r w:rsidRPr="00D827E3">
        <w:rPr>
          <w:rFonts w:eastAsia="Times New Roman" w:cs="Times New Roman"/>
          <w:szCs w:val="24"/>
          <w:lang w:eastAsia="lv-LV" w:bidi="lo-LA"/>
        </w:rPr>
        <w:t xml:space="preserve"> </w:t>
      </w:r>
      <w:r w:rsidRPr="00D827E3">
        <w:rPr>
          <w:rFonts w:eastAsia="Calibri" w:cs="Times New Roman"/>
          <w:szCs w:val="24"/>
        </w:rPr>
        <w:t>Ministru kabineta 2011. gada 1. februāra noteikumu Nr. 109 “Kārtība, kādā atsavināma publiskas personas manta” 11.5. apakšpunktu</w:t>
      </w:r>
      <w:r w:rsidR="00727BE7">
        <w:rPr>
          <w:rFonts w:eastAsia="Calibri" w:cs="Times New Roman"/>
          <w:szCs w:val="24"/>
        </w:rPr>
        <w:t>, ņemot vērā</w:t>
      </w:r>
      <w:r w:rsidRPr="00D827E3">
        <w:rPr>
          <w:rFonts w:eastAsia="Calibri" w:cs="Times New Roman"/>
          <w:szCs w:val="24"/>
        </w:rPr>
        <w:t xml:space="preserve"> komisijas 2026. gada 9. aprīļa lēmumu, </w:t>
      </w:r>
      <w:r w:rsidRPr="00D827E3">
        <w:rPr>
          <w:rFonts w:eastAsia="Times New Roman" w:cs="Times New Roman"/>
          <w:szCs w:val="24"/>
          <w:lang w:eastAsia="lv-LV"/>
        </w:rPr>
        <w:t xml:space="preserve">Tukuma novada dome </w:t>
      </w:r>
      <w:r w:rsidRPr="00D827E3">
        <w:rPr>
          <w:rFonts w:eastAsia="Times New Roman" w:cs="Times New Roman"/>
          <w:bCs/>
          <w:szCs w:val="24"/>
          <w:lang w:eastAsia="lv-LV"/>
        </w:rPr>
        <w:t>nolemj</w:t>
      </w:r>
      <w:r w:rsidRPr="00D827E3">
        <w:rPr>
          <w:rFonts w:eastAsia="Times New Roman" w:cs="Times New Roman"/>
          <w:szCs w:val="24"/>
          <w:lang w:eastAsia="lv-LV"/>
        </w:rPr>
        <w:t>:</w:t>
      </w:r>
    </w:p>
    <w:p w:rsidR="00D827E3" w:rsidRPr="00D827E3" w:rsidP="00727BE7" w14:paraId="53548257" w14:textId="7510FB0D">
      <w:pPr>
        <w:suppressAutoHyphens/>
        <w:ind w:right="49" w:firstLine="709"/>
        <w:rPr>
          <w:rFonts w:eastAsia="Times New Roman" w:cs="Times New Roman"/>
          <w:szCs w:val="24"/>
          <w:lang w:eastAsia="lv-LV"/>
        </w:rPr>
      </w:pPr>
      <w:r w:rsidRPr="00D827E3">
        <w:rPr>
          <w:rFonts w:eastAsia="Times New Roman" w:cs="Times New Roman"/>
          <w:szCs w:val="24"/>
          <w:lang w:eastAsia="lv-LV"/>
        </w:rPr>
        <w:t xml:space="preserve">1. atsavināt pašvaldības nekustamo īpašumu </w:t>
      </w:r>
      <w:r w:rsidRPr="00D827E3">
        <w:rPr>
          <w:rFonts w:eastAsia="Times New Roman" w:cs="Times New Roman"/>
          <w:szCs w:val="24"/>
        </w:rPr>
        <w:t xml:space="preserve">“Stārķīši”, Džūkstes pagastā, Tukuma novadā, kadastra numurs 9048 003 0374, </w:t>
      </w:r>
      <w:r w:rsidRPr="00D827E3">
        <w:rPr>
          <w:rFonts w:eastAsia="Times New Roman" w:cs="Times New Roman"/>
          <w:szCs w:val="24"/>
          <w:lang w:eastAsia="lv-LV" w:bidi="lo-LA"/>
        </w:rPr>
        <w:t>ar tā sastāvā esošo neapbūvēto zemes vienību 1</w:t>
      </w:r>
      <w:r w:rsidRPr="00D827E3">
        <w:rPr>
          <w:rFonts w:eastAsia="Times New Roman" w:cs="Times New Roman"/>
          <w:szCs w:val="24"/>
        </w:rPr>
        <w:t>,02 ha platībā</w:t>
      </w:r>
      <w:r w:rsidR="00727BE7">
        <w:rPr>
          <w:rFonts w:eastAsia="Times New Roman" w:cs="Times New Roman"/>
          <w:szCs w:val="24"/>
        </w:rPr>
        <w:t>,</w:t>
      </w:r>
      <w:r w:rsidRPr="00D827E3">
        <w:rPr>
          <w:rFonts w:eastAsia="Times New Roman" w:cs="Times New Roman"/>
          <w:szCs w:val="24"/>
          <w:lang w:eastAsia="lv-LV" w:bidi="lo-LA"/>
        </w:rPr>
        <w:t xml:space="preserve"> kadastra apzīmējum</w:t>
      </w:r>
      <w:r w:rsidR="00727BE7">
        <w:rPr>
          <w:rFonts w:eastAsia="Times New Roman" w:cs="Times New Roman"/>
          <w:szCs w:val="24"/>
          <w:lang w:eastAsia="lv-LV" w:bidi="lo-LA"/>
        </w:rPr>
        <w:t>s</w:t>
      </w:r>
      <w:r w:rsidRPr="00D827E3">
        <w:rPr>
          <w:rFonts w:eastAsia="Times New Roman" w:cs="Times New Roman"/>
          <w:szCs w:val="24"/>
          <w:lang w:eastAsia="lv-LV" w:bidi="lo-LA"/>
        </w:rPr>
        <w:t xml:space="preserve"> </w:t>
      </w:r>
      <w:r w:rsidRPr="00D827E3">
        <w:rPr>
          <w:rFonts w:eastAsia="Times New Roman" w:cs="Times New Roman"/>
          <w:szCs w:val="24"/>
        </w:rPr>
        <w:t>9048 003 0220</w:t>
      </w:r>
      <w:r w:rsidR="00727BE7">
        <w:rPr>
          <w:rFonts w:eastAsia="Times New Roman" w:cs="Times New Roman"/>
          <w:szCs w:val="24"/>
        </w:rPr>
        <w:t>,</w:t>
      </w:r>
      <w:r w:rsidRPr="00D827E3">
        <w:rPr>
          <w:rFonts w:eastAsia="Times New Roman" w:cs="Times New Roman"/>
          <w:szCs w:val="24"/>
        </w:rPr>
        <w:t xml:space="preserve"> </w:t>
      </w:r>
      <w:r w:rsidRPr="00D827E3">
        <w:rPr>
          <w:rFonts w:eastAsia="Times New Roman" w:cs="Times New Roman"/>
          <w:szCs w:val="24"/>
          <w:lang w:eastAsia="lv-LV"/>
        </w:rPr>
        <w:t xml:space="preserve">par sākuma cenu (nosacīto cenu) </w:t>
      </w:r>
      <w:r w:rsidRPr="00D827E3">
        <w:rPr>
          <w:rFonts w:eastAsia="Times New Roman" w:cs="Times New Roman"/>
          <w:b/>
          <w:kern w:val="2"/>
          <w:szCs w:val="24"/>
          <w:lang w:eastAsia="ar-SA"/>
        </w:rPr>
        <w:t>10 000,00 </w:t>
      </w:r>
      <w:r w:rsidRPr="00D827E3">
        <w:rPr>
          <w:rFonts w:eastAsia="Times New Roman" w:cs="Times New Roman"/>
          <w:b/>
          <w:i/>
          <w:kern w:val="2"/>
          <w:szCs w:val="24"/>
          <w:lang w:eastAsia="ar-SA"/>
        </w:rPr>
        <w:t>euro</w:t>
      </w:r>
      <w:r w:rsidRPr="00D827E3">
        <w:rPr>
          <w:rFonts w:eastAsia="Times New Roman" w:cs="Times New Roman"/>
          <w:kern w:val="2"/>
          <w:szCs w:val="24"/>
          <w:lang w:eastAsia="ar-SA"/>
        </w:rPr>
        <w:t xml:space="preserve"> (desmit tūkstoši </w:t>
      </w:r>
      <w:r w:rsidRPr="00D827E3">
        <w:rPr>
          <w:rFonts w:eastAsia="Times New Roman" w:cs="Times New Roman"/>
          <w:i/>
          <w:szCs w:val="24"/>
          <w:lang w:eastAsia="ar-SA"/>
        </w:rPr>
        <w:t>euro</w:t>
      </w:r>
      <w:r w:rsidRPr="00D827E3">
        <w:rPr>
          <w:rFonts w:eastAsia="Times New Roman" w:cs="Times New Roman"/>
          <w:szCs w:val="24"/>
          <w:lang w:eastAsia="ar-SA"/>
        </w:rPr>
        <w:t xml:space="preserve">), </w:t>
      </w:r>
      <w:r w:rsidRPr="00D827E3">
        <w:rPr>
          <w:rFonts w:eastAsia="Times New Roman" w:cs="Times New Roman"/>
          <w:szCs w:val="24"/>
          <w:lang w:eastAsia="lv-LV"/>
        </w:rPr>
        <w:t>pārdodot to elektroniskā izsolē ar augšupejošu soli</w:t>
      </w:r>
      <w:r w:rsidR="00727BE7">
        <w:rPr>
          <w:rFonts w:eastAsia="Times New Roman" w:cs="Times New Roman"/>
          <w:szCs w:val="24"/>
          <w:lang w:eastAsia="lv-LV"/>
        </w:rPr>
        <w:t>,</w:t>
      </w:r>
    </w:p>
    <w:p w:rsidR="00D827E3" w:rsidRPr="00D827E3" w:rsidP="00D827E3" w14:paraId="6C1921DD" w14:textId="77777777">
      <w:pPr>
        <w:ind w:right="0" w:firstLine="720"/>
        <w:rPr>
          <w:rFonts w:eastAsia="Times New Roman" w:cs="Times New Roman"/>
          <w:szCs w:val="24"/>
          <w:lang w:eastAsia="lv-LV" w:bidi="lo-LA"/>
        </w:rPr>
      </w:pPr>
    </w:p>
    <w:p w:rsidR="00D827E3" w:rsidRPr="00D827E3" w:rsidP="00D827E3" w14:paraId="1B350875" w14:textId="3847303C">
      <w:pPr>
        <w:ind w:right="0" w:firstLine="720"/>
        <w:rPr>
          <w:rFonts w:eastAsia="Times New Roman" w:cs="Times New Roman"/>
          <w:szCs w:val="24"/>
          <w:lang w:eastAsia="lv-LV" w:bidi="lo-LA"/>
        </w:rPr>
      </w:pPr>
      <w:r w:rsidRPr="00D827E3">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27</w:t>
      </w:r>
      <w:r w:rsidRPr="00D827E3">
        <w:rPr>
          <w:rFonts w:eastAsia="Times New Roman" w:cs="Times New Roman"/>
          <w:szCs w:val="24"/>
          <w:lang w:eastAsia="lv-LV" w:bidi="lo-LA"/>
        </w:rPr>
        <w:t xml:space="preserve"> (pielikumā),</w:t>
      </w:r>
    </w:p>
    <w:p w:rsidR="00D827E3" w:rsidRPr="00D827E3" w:rsidP="00D827E3" w14:paraId="5C923D01" w14:textId="77777777">
      <w:pPr>
        <w:ind w:left="720" w:right="0"/>
        <w:contextualSpacing/>
        <w:rPr>
          <w:rFonts w:eastAsia="Times New Roman" w:cs="Times New Roman"/>
          <w:szCs w:val="24"/>
          <w:lang w:eastAsia="lv-LV" w:bidi="lo-LA"/>
        </w:rPr>
      </w:pPr>
    </w:p>
    <w:p w:rsidR="00D827E3" w:rsidRPr="00D827E3" w:rsidP="00D827E3" w14:paraId="713B3AA8" w14:textId="77777777">
      <w:pPr>
        <w:ind w:left="720" w:right="0"/>
        <w:contextualSpacing/>
        <w:rPr>
          <w:rFonts w:eastAsia="Times New Roman" w:cs="Times New Roman"/>
          <w:szCs w:val="24"/>
          <w:lang w:eastAsia="lv-LV" w:bidi="lo-LA"/>
        </w:rPr>
      </w:pPr>
      <w:r w:rsidRPr="00D827E3">
        <w:rPr>
          <w:rFonts w:eastAsia="Times New Roman" w:cs="Times New Roman"/>
          <w:szCs w:val="24"/>
          <w:lang w:eastAsia="lv-LV" w:bidi="lo-LA"/>
        </w:rPr>
        <w:t>3. uzdot komisijai organizēt Nekustamā īpašuma izsoli,</w:t>
      </w:r>
    </w:p>
    <w:p w:rsidR="00D827E3" w:rsidRPr="00D827E3" w:rsidP="00D827E3" w14:paraId="0846436F" w14:textId="77777777">
      <w:pPr>
        <w:suppressAutoHyphens/>
        <w:autoSpaceDN w:val="0"/>
        <w:ind w:right="0" w:firstLine="720"/>
        <w:textAlignment w:val="baseline"/>
        <w:rPr>
          <w:rFonts w:eastAsia="Times New Roman" w:cs="Times New Roman"/>
          <w:szCs w:val="24"/>
          <w:lang w:bidi="lo-LA"/>
        </w:rPr>
      </w:pPr>
    </w:p>
    <w:p w:rsidR="00D827E3" w:rsidRPr="005C771B" w:rsidP="00D827E3" w14:paraId="0A95AB4E" w14:textId="77777777">
      <w:pPr>
        <w:suppressAutoHyphens/>
        <w:autoSpaceDN w:val="0"/>
        <w:ind w:right="0" w:firstLine="720"/>
        <w:textAlignment w:val="baseline"/>
        <w:rPr>
          <w:rFonts w:eastAsia="Times New Roman" w:cs="Times New Roman"/>
          <w:szCs w:val="24"/>
          <w:lang w:bidi="lo-LA"/>
        </w:rPr>
      </w:pPr>
      <w:r w:rsidRPr="005C771B">
        <w:rPr>
          <w:rFonts w:eastAsia="Times New Roman" w:cs="Times New Roman"/>
          <w:szCs w:val="24"/>
          <w:lang w:bidi="lo-LA"/>
        </w:rPr>
        <w:t xml:space="preserve">4. informāciju par izsoli publicēt laikrakstā “Latvijas Vēstnesis”, elektronisko izsoļu vietnē </w:t>
      </w:r>
      <w:hyperlink r:id="rId7" w:history="1">
        <w:r w:rsidRPr="005C771B">
          <w:rPr>
            <w:rFonts w:eastAsia="Times New Roman" w:cs="Times New Roman"/>
            <w:szCs w:val="24"/>
            <w:lang w:bidi="lo-LA"/>
          </w:rPr>
          <w:t>https://izsoles.ta.gov.lv</w:t>
        </w:r>
      </w:hyperlink>
      <w:r w:rsidRPr="005C771B">
        <w:rPr>
          <w:rFonts w:eastAsia="Times New Roman" w:cs="Times New Roman"/>
          <w:szCs w:val="24"/>
          <w:lang w:bidi="lo-LA"/>
        </w:rPr>
        <w:t xml:space="preserve"> un pašvaldības tīmekļvietnē </w:t>
      </w:r>
      <w:hyperlink r:id="rId8" w:history="1">
        <w:r w:rsidRPr="005C771B">
          <w:rPr>
            <w:rFonts w:eastAsia="Calibri" w:cs="Times New Roman"/>
            <w:szCs w:val="24"/>
            <w:lang w:bidi="lo-LA"/>
          </w:rPr>
          <w:t>www.tukums.lv</w:t>
        </w:r>
      </w:hyperlink>
      <w:r w:rsidRPr="005C771B">
        <w:rPr>
          <w:rFonts w:eastAsia="Times New Roman" w:cs="Times New Roman"/>
          <w:szCs w:val="24"/>
          <w:lang w:bidi="lo-LA"/>
        </w:rPr>
        <w:t>,</w:t>
      </w:r>
    </w:p>
    <w:p w:rsidR="00D827E3" w:rsidRPr="005C771B" w:rsidP="00D827E3" w14:paraId="2AD988BC" w14:textId="77777777">
      <w:pPr>
        <w:ind w:right="0" w:firstLine="720"/>
        <w:rPr>
          <w:rFonts w:eastAsia="Times New Roman" w:cs="Times New Roman"/>
          <w:szCs w:val="24"/>
          <w:lang w:eastAsia="lv-LV" w:bidi="lo-LA"/>
        </w:rPr>
      </w:pPr>
    </w:p>
    <w:p w:rsidR="00D827E3" w:rsidRPr="00D827E3" w:rsidP="00D827E3" w14:paraId="765F4D04" w14:textId="77777777">
      <w:pPr>
        <w:ind w:right="0" w:firstLine="720"/>
        <w:rPr>
          <w:rFonts w:eastAsia="Times New Roman" w:cs="Times New Roman"/>
          <w:szCs w:val="24"/>
          <w:lang w:eastAsia="lv-LV" w:bidi="lo-LA"/>
        </w:rPr>
      </w:pPr>
      <w:r w:rsidRPr="00D827E3">
        <w:rPr>
          <w:rFonts w:eastAsia="Times New Roman" w:cs="Times New Roman"/>
          <w:szCs w:val="24"/>
          <w:lang w:eastAsia="lv-LV" w:bidi="lo-LA"/>
        </w:rPr>
        <w:t>5. uzdot pašvaldības izpilddirektoram Ivaram Liepiņam veikt kontroli par lēmuma izpildi.</w:t>
      </w:r>
    </w:p>
    <w:p w:rsidR="00D827E3" w:rsidRPr="00D827E3" w:rsidP="00D827E3" w14:paraId="411A7F8D" w14:textId="77777777">
      <w:pPr>
        <w:ind w:right="0" w:firstLine="720"/>
        <w:rPr>
          <w:rFonts w:eastAsia="Times New Roman" w:cs="Times New Roman"/>
          <w:i/>
          <w:szCs w:val="24"/>
          <w:highlight w:val="yellow"/>
          <w:lang w:eastAsia="lv-LV" w:bidi="lo-LA"/>
        </w:rPr>
      </w:pPr>
    </w:p>
    <w:p w:rsidR="00122F7B" w:rsidRPr="00122F7B" w:rsidP="00122F7B" w14:paraId="1B1F021C" w14:textId="77777777">
      <w:pPr>
        <w:ind w:right="0"/>
        <w:rPr>
          <w:rFonts w:cs="Times New Roman"/>
          <w:szCs w:val="24"/>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sectPr w:rsidSect="00FE5521">
      <w:headerReference w:type="default" r:id="rId9"/>
      <w:footerReference w:type="default" r:id="rId10"/>
      <w:footerReference w:type="first" r:id="rId1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F00887">
          <w:rPr>
            <w:sz w:val="12"/>
            <w:szCs w:val="12"/>
          </w:rPr>
          <w:fldChar w:fldCharType="begin"/>
        </w:r>
        <w:r w:rsidRPr="0004206F" w:rsidR="00F00887">
          <w:rPr>
            <w:sz w:val="12"/>
            <w:szCs w:val="12"/>
          </w:rPr>
          <w:instrText xml:space="preserve"> PAGE   \* MERGEFORMAT </w:instrText>
        </w:r>
        <w:r w:rsidRPr="0004206F" w:rsidR="00F00887">
          <w:rPr>
            <w:sz w:val="12"/>
            <w:szCs w:val="12"/>
          </w:rPr>
          <w:fldChar w:fldCharType="separate"/>
        </w:r>
        <w:r w:rsidR="003D7985">
          <w:rPr>
            <w:noProof/>
            <w:sz w:val="12"/>
            <w:szCs w:val="12"/>
          </w:rPr>
          <w:t>1</w:t>
        </w:r>
        <w:r w:rsidRPr="0004206F" w:rsidR="00F00887">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335547227">
    <w:abstractNumId w:val="4"/>
  </w:num>
  <w:num w:numId="2" w16cid:durableId="1717853707">
    <w:abstractNumId w:val="1"/>
  </w:num>
  <w:num w:numId="3" w16cid:durableId="1296444220">
    <w:abstractNumId w:val="0"/>
  </w:num>
  <w:num w:numId="4" w16cid:durableId="1479418398">
    <w:abstractNumId w:val="5"/>
  </w:num>
  <w:num w:numId="5" w16cid:durableId="907303275">
    <w:abstractNumId w:val="7"/>
  </w:num>
  <w:num w:numId="6" w16cid:durableId="2015835888">
    <w:abstractNumId w:val="10"/>
  </w:num>
  <w:num w:numId="7" w16cid:durableId="1409578971">
    <w:abstractNumId w:val="6"/>
  </w:num>
  <w:num w:numId="8" w16cid:durableId="803813517">
    <w:abstractNumId w:val="9"/>
  </w:num>
  <w:num w:numId="9" w16cid:durableId="347144264">
    <w:abstractNumId w:val="11"/>
  </w:num>
  <w:num w:numId="10" w16cid:durableId="1963267943">
    <w:abstractNumId w:val="8"/>
  </w:num>
  <w:num w:numId="11" w16cid:durableId="1636718010">
    <w:abstractNumId w:val="2"/>
  </w:num>
  <w:num w:numId="12" w16cid:durableId="1917199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A618D"/>
    <w:rsid w:val="000B0B3B"/>
    <w:rsid w:val="000D1112"/>
    <w:rsid w:val="000D5453"/>
    <w:rsid w:val="000D61AD"/>
    <w:rsid w:val="000D7658"/>
    <w:rsid w:val="00102AE2"/>
    <w:rsid w:val="00103AFF"/>
    <w:rsid w:val="00111207"/>
    <w:rsid w:val="00122F7B"/>
    <w:rsid w:val="00160433"/>
    <w:rsid w:val="001621BE"/>
    <w:rsid w:val="001657E4"/>
    <w:rsid w:val="00185B84"/>
    <w:rsid w:val="001875FA"/>
    <w:rsid w:val="00196810"/>
    <w:rsid w:val="001A5BED"/>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867BA"/>
    <w:rsid w:val="002A3CB9"/>
    <w:rsid w:val="002D0C77"/>
    <w:rsid w:val="002E3856"/>
    <w:rsid w:val="002F60E1"/>
    <w:rsid w:val="00307425"/>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14BE9"/>
    <w:rsid w:val="00436D62"/>
    <w:rsid w:val="00440D7B"/>
    <w:rsid w:val="00441218"/>
    <w:rsid w:val="00452734"/>
    <w:rsid w:val="00455EF0"/>
    <w:rsid w:val="004806D3"/>
    <w:rsid w:val="004929B6"/>
    <w:rsid w:val="00494922"/>
    <w:rsid w:val="004A264B"/>
    <w:rsid w:val="00507B41"/>
    <w:rsid w:val="0052225D"/>
    <w:rsid w:val="00527A18"/>
    <w:rsid w:val="00543FAB"/>
    <w:rsid w:val="005461FB"/>
    <w:rsid w:val="00556263"/>
    <w:rsid w:val="00563E42"/>
    <w:rsid w:val="00565B60"/>
    <w:rsid w:val="005708E4"/>
    <w:rsid w:val="00575785"/>
    <w:rsid w:val="00586547"/>
    <w:rsid w:val="00591BB3"/>
    <w:rsid w:val="005A057A"/>
    <w:rsid w:val="005C4235"/>
    <w:rsid w:val="005C771B"/>
    <w:rsid w:val="005D3009"/>
    <w:rsid w:val="005D4293"/>
    <w:rsid w:val="005E1636"/>
    <w:rsid w:val="005E4594"/>
    <w:rsid w:val="005E5431"/>
    <w:rsid w:val="005F126D"/>
    <w:rsid w:val="005F288F"/>
    <w:rsid w:val="00603365"/>
    <w:rsid w:val="00606D85"/>
    <w:rsid w:val="006144AB"/>
    <w:rsid w:val="00615EE7"/>
    <w:rsid w:val="006248D6"/>
    <w:rsid w:val="0065586E"/>
    <w:rsid w:val="00657047"/>
    <w:rsid w:val="00675174"/>
    <w:rsid w:val="0068725B"/>
    <w:rsid w:val="006934FF"/>
    <w:rsid w:val="006A4F0A"/>
    <w:rsid w:val="006B4590"/>
    <w:rsid w:val="006E447A"/>
    <w:rsid w:val="006E77F9"/>
    <w:rsid w:val="006F21A1"/>
    <w:rsid w:val="00705792"/>
    <w:rsid w:val="007064A0"/>
    <w:rsid w:val="0071320E"/>
    <w:rsid w:val="00727BE7"/>
    <w:rsid w:val="007356EE"/>
    <w:rsid w:val="00743123"/>
    <w:rsid w:val="0075164F"/>
    <w:rsid w:val="007527A8"/>
    <w:rsid w:val="007662F4"/>
    <w:rsid w:val="00791180"/>
    <w:rsid w:val="007C10D5"/>
    <w:rsid w:val="007E674A"/>
    <w:rsid w:val="007F5B04"/>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C748A"/>
    <w:rsid w:val="009D0559"/>
    <w:rsid w:val="009E1203"/>
    <w:rsid w:val="009E7CC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7504"/>
    <w:rsid w:val="00B60DE1"/>
    <w:rsid w:val="00B66359"/>
    <w:rsid w:val="00B76469"/>
    <w:rsid w:val="00B909FA"/>
    <w:rsid w:val="00B950D5"/>
    <w:rsid w:val="00B96783"/>
    <w:rsid w:val="00BA7C19"/>
    <w:rsid w:val="00BC09EB"/>
    <w:rsid w:val="00BD0542"/>
    <w:rsid w:val="00BD4682"/>
    <w:rsid w:val="00BE0FA1"/>
    <w:rsid w:val="00C337A5"/>
    <w:rsid w:val="00C43BA6"/>
    <w:rsid w:val="00C7631A"/>
    <w:rsid w:val="00C81589"/>
    <w:rsid w:val="00C9533D"/>
    <w:rsid w:val="00C965A3"/>
    <w:rsid w:val="00CC0858"/>
    <w:rsid w:val="00CC626C"/>
    <w:rsid w:val="00CE53DC"/>
    <w:rsid w:val="00CE77DE"/>
    <w:rsid w:val="00CF75AC"/>
    <w:rsid w:val="00D02FF9"/>
    <w:rsid w:val="00D05BB1"/>
    <w:rsid w:val="00D0772B"/>
    <w:rsid w:val="00D105E4"/>
    <w:rsid w:val="00D14FCF"/>
    <w:rsid w:val="00D16FA8"/>
    <w:rsid w:val="00D57C01"/>
    <w:rsid w:val="00D6758D"/>
    <w:rsid w:val="00D827E3"/>
    <w:rsid w:val="00DE3BE8"/>
    <w:rsid w:val="00DF5D72"/>
    <w:rsid w:val="00E0089D"/>
    <w:rsid w:val="00E1224D"/>
    <w:rsid w:val="00E26F61"/>
    <w:rsid w:val="00E316D1"/>
    <w:rsid w:val="00E35729"/>
    <w:rsid w:val="00E50314"/>
    <w:rsid w:val="00E55B97"/>
    <w:rsid w:val="00E563E5"/>
    <w:rsid w:val="00E908C9"/>
    <w:rsid w:val="00EA0668"/>
    <w:rsid w:val="00EA36B9"/>
    <w:rsid w:val="00EA5103"/>
    <w:rsid w:val="00ED0E82"/>
    <w:rsid w:val="00ED76D6"/>
    <w:rsid w:val="00EE3765"/>
    <w:rsid w:val="00EF3AF9"/>
    <w:rsid w:val="00F00887"/>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s://likumi.lv/ta/id/50425-standartizacijas-likums" TargetMode="External" /><Relationship Id="rId7" Type="http://schemas.openxmlformats.org/officeDocument/2006/relationships/hyperlink" Target="https://izsoles.ta.gov.lv" TargetMode="External" /><Relationship Id="rId8" Type="http://schemas.openxmlformats.org/officeDocument/2006/relationships/hyperlink" Target="http://www.tukums.l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3762</Words>
  <Characters>2145</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30</cp:revision>
  <cp:lastPrinted>2020-07-24T10:11:00Z</cp:lastPrinted>
  <dcterms:created xsi:type="dcterms:W3CDTF">2024-01-16T11:13:00Z</dcterms:created>
  <dcterms:modified xsi:type="dcterms:W3CDTF">2026-05-03T10:57:00Z</dcterms:modified>
</cp:coreProperties>
</file>