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5269F" w:rsidRDefault="006533B9" w:rsidP="003736E1">
      <w:pPr>
        <w:spacing w:after="0" w:line="240" w:lineRule="auto"/>
        <w:jc w:val="center"/>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PAŠVALDĪBAS NEKUSTAM</w:t>
      </w:r>
      <w:r w:rsidR="00B3242B" w:rsidRPr="0065269F">
        <w:rPr>
          <w:rFonts w:ascii="Times New Roman" w:eastAsia="Times New Roman" w:hAnsi="Times New Roman" w:cs="Times New Roman"/>
          <w:sz w:val="24"/>
          <w:szCs w:val="24"/>
          <w:lang w:eastAsia="lv-LV"/>
        </w:rPr>
        <w:t>Ā</w:t>
      </w:r>
      <w:r w:rsidRPr="0065269F">
        <w:rPr>
          <w:rFonts w:ascii="Times New Roman" w:eastAsia="Times New Roman" w:hAnsi="Times New Roman" w:cs="Times New Roman"/>
          <w:sz w:val="24"/>
          <w:szCs w:val="24"/>
          <w:lang w:eastAsia="lv-LV"/>
        </w:rPr>
        <w:t xml:space="preserve"> ĪPAŠUM</w:t>
      </w:r>
      <w:r w:rsidR="00B3242B" w:rsidRPr="0065269F">
        <w:rPr>
          <w:rFonts w:ascii="Times New Roman" w:eastAsia="Times New Roman" w:hAnsi="Times New Roman" w:cs="Times New Roman"/>
          <w:sz w:val="24"/>
          <w:szCs w:val="24"/>
          <w:lang w:eastAsia="lv-LV"/>
        </w:rPr>
        <w:t>A</w:t>
      </w:r>
      <w:r w:rsidRPr="0065269F">
        <w:rPr>
          <w:rFonts w:ascii="Times New Roman" w:eastAsia="Times New Roman" w:hAnsi="Times New Roman" w:cs="Times New Roman"/>
          <w:sz w:val="24"/>
          <w:szCs w:val="24"/>
          <w:lang w:eastAsia="lv-LV"/>
        </w:rPr>
        <w:t xml:space="preserve"> </w:t>
      </w:r>
    </w:p>
    <w:p w14:paraId="7EA8ABE2" w14:textId="75C188DE" w:rsidR="00071694" w:rsidRPr="0065269F" w:rsidRDefault="0065269F" w:rsidP="00071694">
      <w:pPr>
        <w:pStyle w:val="Heading3"/>
        <w:spacing w:before="0" w:after="0"/>
        <w:ind w:right="28"/>
        <w:jc w:val="center"/>
        <w:rPr>
          <w:rFonts w:ascii="Times New Roman" w:hAnsi="Times New Roman"/>
          <w:sz w:val="24"/>
          <w:szCs w:val="24"/>
        </w:rPr>
      </w:pPr>
      <w:r w:rsidRPr="0065269F">
        <w:rPr>
          <w:rFonts w:ascii="Times New Roman Bold" w:hAnsi="Times New Roman Bold"/>
          <w:b w:val="0"/>
          <w:sz w:val="24"/>
          <w:szCs w:val="24"/>
        </w:rPr>
        <w:t>“Papardes” - 11, Laidos, Laidu</w:t>
      </w:r>
      <w:r w:rsidR="00AF2F14" w:rsidRPr="0065269F">
        <w:rPr>
          <w:rFonts w:ascii="Times New Roman" w:hAnsi="Times New Roman"/>
          <w:sz w:val="24"/>
          <w:szCs w:val="24"/>
        </w:rPr>
        <w:t xml:space="preserve"> </w:t>
      </w:r>
      <w:r w:rsidR="00071694" w:rsidRPr="0065269F">
        <w:rPr>
          <w:rFonts w:ascii="Times New Roman" w:hAnsi="Times New Roman"/>
          <w:sz w:val="24"/>
          <w:szCs w:val="24"/>
        </w:rPr>
        <w:t>pagastā, Kuldīgas novadā,</w:t>
      </w:r>
    </w:p>
    <w:p w14:paraId="27D6F1EB" w14:textId="77777777" w:rsidR="006533B9" w:rsidRPr="0065269F" w:rsidRDefault="006533B9" w:rsidP="003736E1">
      <w:pPr>
        <w:spacing w:after="0" w:line="240" w:lineRule="auto"/>
        <w:jc w:val="center"/>
        <w:rPr>
          <w:rFonts w:ascii="Times New Roman" w:eastAsia="Times New Roman" w:hAnsi="Times New Roman" w:cs="Times New Roman"/>
          <w:bCs/>
          <w:sz w:val="24"/>
          <w:szCs w:val="24"/>
          <w:lang w:eastAsia="lv-LV"/>
        </w:rPr>
      </w:pPr>
      <w:r w:rsidRPr="0065269F">
        <w:rPr>
          <w:rFonts w:ascii="Times New Roman" w:eastAsia="Times New Roman" w:hAnsi="Times New Roman" w:cs="Times New Roman"/>
          <w:b/>
          <w:bCs/>
          <w:sz w:val="24"/>
          <w:szCs w:val="24"/>
          <w:lang w:eastAsia="lv-LV"/>
        </w:rPr>
        <w:t xml:space="preserve"> </w:t>
      </w:r>
      <w:r w:rsidRPr="0065269F">
        <w:rPr>
          <w:rFonts w:ascii="Times New Roman" w:eastAsia="Times New Roman" w:hAnsi="Times New Roman" w:cs="Times New Roman"/>
          <w:bCs/>
          <w:sz w:val="24"/>
          <w:szCs w:val="24"/>
          <w:lang w:eastAsia="lv-LV"/>
        </w:rPr>
        <w:t>IZSOLES NOTEIKUMI</w:t>
      </w:r>
    </w:p>
    <w:p w14:paraId="7C0B7EBD" w14:textId="77777777" w:rsidR="006533B9" w:rsidRPr="0065269F"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5269F" w:rsidRDefault="00172193" w:rsidP="00172193">
      <w:pPr>
        <w:spacing w:after="0" w:line="240" w:lineRule="auto"/>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5269F" w:rsidRDefault="006533B9" w:rsidP="003736E1">
      <w:pPr>
        <w:spacing w:after="0" w:line="240" w:lineRule="auto"/>
        <w:rPr>
          <w:rFonts w:ascii="Times New Roman" w:eastAsia="Times New Roman" w:hAnsi="Times New Roman" w:cs="Times New Roman"/>
          <w:sz w:val="24"/>
          <w:szCs w:val="24"/>
          <w:lang w:eastAsia="lv-LV"/>
        </w:rPr>
      </w:pPr>
    </w:p>
    <w:p w14:paraId="41846402" w14:textId="312B1490" w:rsidR="00071694" w:rsidRPr="0065269F"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5269F">
        <w:rPr>
          <w:rFonts w:ascii="Times New Roman" w:hAnsi="Times New Roman" w:cs="Times New Roman"/>
          <w:sz w:val="24"/>
          <w:szCs w:val="24"/>
        </w:rPr>
        <w:t>Elektroniskā izsolē ar augšupejošu soli</w:t>
      </w:r>
      <w:r w:rsidR="00071694" w:rsidRPr="0065269F">
        <w:rPr>
          <w:rFonts w:ascii="Times New Roman" w:hAnsi="Times New Roman" w:cs="Times New Roman"/>
          <w:sz w:val="24"/>
          <w:szCs w:val="24"/>
        </w:rPr>
        <w:t xml:space="preserve"> tiek piedāvāt</w:t>
      </w:r>
      <w:r w:rsidR="00B3242B" w:rsidRPr="0065269F">
        <w:rPr>
          <w:rFonts w:ascii="Times New Roman" w:hAnsi="Times New Roman" w:cs="Times New Roman"/>
          <w:sz w:val="24"/>
          <w:szCs w:val="24"/>
        </w:rPr>
        <w:t>s</w:t>
      </w:r>
      <w:r w:rsidR="00071694" w:rsidRPr="0065269F">
        <w:rPr>
          <w:rFonts w:ascii="Times New Roman" w:hAnsi="Times New Roman" w:cs="Times New Roman"/>
          <w:sz w:val="24"/>
          <w:szCs w:val="24"/>
        </w:rPr>
        <w:t xml:space="preserve"> pašvaldības nekustam</w:t>
      </w:r>
      <w:r w:rsidR="00B3242B" w:rsidRPr="0065269F">
        <w:rPr>
          <w:rFonts w:ascii="Times New Roman" w:hAnsi="Times New Roman" w:cs="Times New Roman"/>
          <w:sz w:val="24"/>
          <w:szCs w:val="24"/>
        </w:rPr>
        <w:t>ais</w:t>
      </w:r>
      <w:r w:rsidR="00071694" w:rsidRPr="0065269F">
        <w:rPr>
          <w:rFonts w:ascii="Times New Roman" w:hAnsi="Times New Roman" w:cs="Times New Roman"/>
          <w:sz w:val="24"/>
          <w:szCs w:val="24"/>
        </w:rPr>
        <w:t xml:space="preserve"> īpašum</w:t>
      </w:r>
      <w:r w:rsidR="00B3242B" w:rsidRPr="0065269F">
        <w:rPr>
          <w:rFonts w:ascii="Times New Roman" w:hAnsi="Times New Roman" w:cs="Times New Roman"/>
          <w:sz w:val="24"/>
          <w:szCs w:val="24"/>
        </w:rPr>
        <w:t>s</w:t>
      </w:r>
      <w:r w:rsidR="00BA0757" w:rsidRPr="0065269F">
        <w:rPr>
          <w:rFonts w:ascii="Times New Roman" w:hAnsi="Times New Roman" w:cs="Times New Roman"/>
          <w:sz w:val="24"/>
          <w:szCs w:val="24"/>
        </w:rPr>
        <w:t>:</w:t>
      </w:r>
      <w:r w:rsidR="00B3242B" w:rsidRPr="0065269F">
        <w:rPr>
          <w:rFonts w:ascii="Times New Roman" w:hAnsi="Times New Roman" w:cs="Times New Roman"/>
          <w:sz w:val="24"/>
          <w:szCs w:val="24"/>
        </w:rPr>
        <w:t xml:space="preserve"> </w:t>
      </w:r>
      <w:r w:rsidR="0065269F" w:rsidRPr="0065269F">
        <w:rPr>
          <w:rFonts w:ascii="Times New Roman" w:hAnsi="Times New Roman" w:cs="Times New Roman"/>
          <w:b/>
          <w:bCs/>
          <w:sz w:val="24"/>
          <w:szCs w:val="24"/>
        </w:rPr>
        <w:t>“Papardes” - 11, Laidi, Laidu</w:t>
      </w:r>
      <w:r w:rsidR="00177301" w:rsidRPr="0065269F">
        <w:rPr>
          <w:rFonts w:ascii="Times New Roman" w:hAnsi="Times New Roman" w:cs="Times New Roman"/>
          <w:b/>
          <w:bCs/>
          <w:sz w:val="24"/>
          <w:szCs w:val="24"/>
        </w:rPr>
        <w:t xml:space="preserve"> </w:t>
      </w:r>
      <w:r w:rsidR="00071694" w:rsidRPr="0065269F">
        <w:rPr>
          <w:rFonts w:ascii="Times New Roman" w:hAnsi="Times New Roman" w:cs="Times New Roman"/>
          <w:b/>
          <w:bCs/>
          <w:sz w:val="24"/>
          <w:szCs w:val="24"/>
        </w:rPr>
        <w:t>pagast</w:t>
      </w:r>
      <w:r w:rsidR="00071694" w:rsidRPr="003633CB">
        <w:rPr>
          <w:rFonts w:ascii="Times New Roman" w:hAnsi="Times New Roman" w:cs="Times New Roman"/>
          <w:b/>
          <w:bCs/>
          <w:sz w:val="24"/>
          <w:szCs w:val="24"/>
        </w:rPr>
        <w:t>ā, Kuldīgas novadā</w:t>
      </w:r>
      <w:r w:rsidR="00071694" w:rsidRPr="003633CB">
        <w:rPr>
          <w:rFonts w:ascii="Times New Roman" w:hAnsi="Times New Roman" w:cs="Times New Roman"/>
          <w:sz w:val="24"/>
          <w:szCs w:val="24"/>
        </w:rPr>
        <w:t xml:space="preserve">, </w:t>
      </w:r>
      <w:r w:rsidR="00071694" w:rsidRPr="0065269F">
        <w:rPr>
          <w:rFonts w:ascii="Times New Roman" w:hAnsi="Times New Roman" w:cs="Times New Roman"/>
          <w:sz w:val="24"/>
          <w:szCs w:val="24"/>
        </w:rPr>
        <w:t xml:space="preserve">kadastra Nr. </w:t>
      </w:r>
      <w:r w:rsidR="0065269F" w:rsidRPr="0065269F">
        <w:rPr>
          <w:rFonts w:ascii="Times New Roman" w:hAnsi="Times New Roman" w:cs="Times New Roman"/>
          <w:sz w:val="24"/>
          <w:szCs w:val="24"/>
        </w:rPr>
        <w:t>62649000140</w:t>
      </w:r>
      <w:r w:rsidR="00071694" w:rsidRPr="0065269F">
        <w:rPr>
          <w:rFonts w:ascii="Times New Roman" w:hAnsi="Times New Roman" w:cs="Times New Roman"/>
          <w:sz w:val="24"/>
          <w:szCs w:val="24"/>
        </w:rPr>
        <w:t>:</w:t>
      </w:r>
    </w:p>
    <w:p w14:paraId="0EFD7819" w14:textId="1E19AC62" w:rsidR="00F55F0B" w:rsidRPr="0065269F"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65269F">
        <w:rPr>
          <w:rFonts w:ascii="Times New Roman" w:hAnsi="Times New Roman" w:cs="Times New Roman"/>
          <w:sz w:val="24"/>
          <w:szCs w:val="24"/>
        </w:rPr>
        <w:t xml:space="preserve">Īpašuma tiesības nostiprinātas Kuldīgas novada pašvaldībai, </w:t>
      </w:r>
      <w:r w:rsidR="00177301" w:rsidRPr="0065269F">
        <w:rPr>
          <w:rFonts w:ascii="Times New Roman" w:hAnsi="Times New Roman" w:cs="Times New Roman"/>
          <w:sz w:val="24"/>
          <w:szCs w:val="24"/>
        </w:rPr>
        <w:t>Laidu</w:t>
      </w:r>
      <w:r w:rsidRPr="0065269F">
        <w:rPr>
          <w:rFonts w:ascii="Times New Roman" w:hAnsi="Times New Roman" w:cs="Times New Roman"/>
          <w:sz w:val="24"/>
          <w:szCs w:val="24"/>
        </w:rPr>
        <w:t xml:space="preserve"> pagasta zemesgrāmatas nodalījuma Nr. </w:t>
      </w:r>
      <w:r w:rsidR="0065269F" w:rsidRPr="0065269F">
        <w:rPr>
          <w:rFonts w:ascii="Times New Roman" w:hAnsi="Times New Roman" w:cs="Times New Roman"/>
          <w:sz w:val="24"/>
          <w:szCs w:val="24"/>
        </w:rPr>
        <w:t>172-11</w:t>
      </w:r>
      <w:r w:rsidR="00DE48BC" w:rsidRPr="0065269F">
        <w:rPr>
          <w:rFonts w:ascii="Times New Roman" w:hAnsi="Times New Roman" w:cs="Times New Roman"/>
          <w:sz w:val="24"/>
          <w:szCs w:val="24"/>
        </w:rPr>
        <w:t>.</w:t>
      </w:r>
      <w:r w:rsidRPr="0065269F">
        <w:rPr>
          <w:rFonts w:ascii="Times New Roman" w:hAnsi="Times New Roman" w:cs="Times New Roman"/>
          <w:sz w:val="24"/>
          <w:szCs w:val="24"/>
        </w:rPr>
        <w:t xml:space="preserve"> </w:t>
      </w:r>
    </w:p>
    <w:p w14:paraId="2CF5029E" w14:textId="6D058ABE"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5269F">
        <w:rPr>
          <w:rFonts w:ascii="Times New Roman" w:hAnsi="Times New Roman" w:cs="Times New Roman"/>
          <w:sz w:val="24"/>
          <w:szCs w:val="24"/>
        </w:rPr>
        <w:t>Dzīvokļa</w:t>
      </w:r>
      <w:r w:rsidR="00F55F0B" w:rsidRPr="0065269F">
        <w:rPr>
          <w:rFonts w:ascii="Times New Roman" w:hAnsi="Times New Roman" w:cs="Times New Roman"/>
          <w:sz w:val="24"/>
          <w:szCs w:val="24"/>
        </w:rPr>
        <w:t xml:space="preserve"> īpašuma sastāvā ir </w:t>
      </w:r>
      <w:bookmarkEnd w:id="0"/>
      <w:r w:rsidR="0065269F" w:rsidRPr="0065269F">
        <w:rPr>
          <w:rFonts w:ascii="Times New Roman" w:hAnsi="Times New Roman" w:cs="Times New Roman"/>
          <w:sz w:val="24"/>
          <w:szCs w:val="24"/>
        </w:rPr>
        <w:t>trīsistabu</w:t>
      </w:r>
      <w:r w:rsidR="00860935" w:rsidRPr="0065269F">
        <w:rPr>
          <w:rFonts w:ascii="Times New Roman" w:hAnsi="Times New Roman" w:cs="Times New Roman"/>
          <w:sz w:val="24"/>
          <w:szCs w:val="24"/>
        </w:rPr>
        <w:t xml:space="preserve"> dzīvoklis ar platību </w:t>
      </w:r>
      <w:r w:rsidR="0065269F" w:rsidRPr="0065269F">
        <w:rPr>
          <w:rFonts w:ascii="Times New Roman" w:hAnsi="Times New Roman" w:cs="Times New Roman"/>
          <w:sz w:val="24"/>
          <w:szCs w:val="24"/>
        </w:rPr>
        <w:t>69,1 m</w:t>
      </w:r>
      <w:r w:rsidR="0065269F" w:rsidRPr="0065269F">
        <w:rPr>
          <w:rFonts w:ascii="Times New Roman" w:hAnsi="Times New Roman" w:cs="Times New Roman"/>
          <w:sz w:val="24"/>
          <w:szCs w:val="24"/>
          <w:vertAlign w:val="superscript"/>
        </w:rPr>
        <w:t>2</w:t>
      </w:r>
      <w:r w:rsidR="0065269F" w:rsidRPr="0065269F">
        <w:rPr>
          <w:rFonts w:ascii="Times New Roman" w:hAnsi="Times New Roman" w:cs="Times New Roman"/>
          <w:sz w:val="24"/>
          <w:szCs w:val="24"/>
        </w:rPr>
        <w:t xml:space="preserve">, kopīpašuma 691/8036 domājamās daļas no daudzdzīvokļu dzīvojamās mājas </w:t>
      </w:r>
      <w:r w:rsidR="0065269F" w:rsidRPr="00F80664">
        <w:rPr>
          <w:rFonts w:ascii="Times New Roman" w:hAnsi="Times New Roman" w:cs="Times New Roman"/>
          <w:sz w:val="24"/>
          <w:szCs w:val="24"/>
        </w:rPr>
        <w:t>ar kadastra apzīmējumu 62640040188001 un zemes vienības ar kadastra apzīmējumu 62640040188</w:t>
      </w:r>
      <w:r w:rsidR="00177301" w:rsidRPr="003633CB">
        <w:rPr>
          <w:rFonts w:ascii="Times New Roman" w:hAnsi="Times New Roman" w:cs="Times New Roman"/>
          <w:sz w:val="24"/>
          <w:szCs w:val="24"/>
        </w:rPr>
        <w:t>.</w:t>
      </w:r>
    </w:p>
    <w:p w14:paraId="31F7A960" w14:textId="69B1F4D1" w:rsidR="00177301" w:rsidRPr="003633CB" w:rsidRDefault="0065269F"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65269F">
        <w:rPr>
          <w:rFonts w:ascii="Times New Roman" w:hAnsi="Times New Roman" w:cs="Times New Roman"/>
          <w:sz w:val="24"/>
          <w:szCs w:val="24"/>
        </w:rPr>
        <w:t>Dzīvoklis atrodas Kuldīgas novada Laidu pagastā, apdzīvotā vietā Laidi. Laidi, ir ciems Kuldīgas novada Laidu pagastā, pagasta centrs. Izvietojies pagasta austrumdaļā autoceļu V1272 un V1273 krustojumā 28 km no novada centra Kuldīgas un 167 km no Rīgas. Laidos atrodas pagasta pārvalde, pamatskola, bibliotēka, doktorāts, aptieka, pasts, veikals, brīvdabas estrāde</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65269F" w:rsidRDefault="00177301" w:rsidP="00177301">
            <w:pPr>
              <w:pStyle w:val="Default"/>
              <w:jc w:val="center"/>
              <w:rPr>
                <w:rFonts w:ascii="Times New Roman" w:hAnsi="Times New Roman" w:cs="Times New Roman"/>
                <w:color w:val="auto"/>
                <w:lang w:val="lv-LV"/>
              </w:rPr>
            </w:pPr>
            <w:r w:rsidRPr="0065269F">
              <w:rPr>
                <w:rFonts w:ascii="Times New Roman" w:hAnsi="Times New Roman" w:cs="Times New Roman"/>
                <w:color w:val="auto"/>
                <w:lang w:val="lv-LV"/>
              </w:rPr>
              <w:t>Stāvs</w:t>
            </w:r>
          </w:p>
        </w:tc>
        <w:tc>
          <w:tcPr>
            <w:tcW w:w="2859" w:type="dxa"/>
          </w:tcPr>
          <w:p w14:paraId="73346F21" w14:textId="7356232E" w:rsidR="00177301" w:rsidRPr="0065269F" w:rsidRDefault="00177301" w:rsidP="00177301">
            <w:pPr>
              <w:pStyle w:val="Default"/>
              <w:jc w:val="center"/>
              <w:rPr>
                <w:rFonts w:ascii="Times New Roman" w:hAnsi="Times New Roman" w:cs="Times New Roman"/>
                <w:color w:val="auto"/>
                <w:lang w:val="lv-LV"/>
              </w:rPr>
            </w:pPr>
            <w:r w:rsidRPr="0065269F">
              <w:rPr>
                <w:rFonts w:ascii="Times New Roman" w:hAnsi="Times New Roman" w:cs="Times New Roman"/>
                <w:color w:val="auto"/>
                <w:lang w:val="lv-LV"/>
              </w:rPr>
              <w:t>Platība</w:t>
            </w:r>
            <w:r w:rsidR="003633CB" w:rsidRPr="0065269F">
              <w:rPr>
                <w:rFonts w:ascii="Times New Roman" w:hAnsi="Times New Roman" w:cs="Times New Roman"/>
                <w:color w:val="auto"/>
                <w:lang w:val="lv-LV"/>
              </w:rPr>
              <w:t>,</w:t>
            </w:r>
            <w:r w:rsidRPr="0065269F">
              <w:rPr>
                <w:rFonts w:ascii="Times New Roman" w:hAnsi="Times New Roman" w:cs="Times New Roman"/>
                <w:color w:val="auto"/>
                <w:lang w:val="lv-LV"/>
              </w:rPr>
              <w:t xml:space="preserve"> m</w:t>
            </w:r>
            <w:r w:rsidRPr="0065269F">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2F0ECF47" w:rsidR="00177301" w:rsidRPr="003633CB" w:rsidRDefault="0065269F" w:rsidP="00177301">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1169C269" w14:textId="4EC829B7" w:rsidR="00177301" w:rsidRPr="0065269F" w:rsidRDefault="0065269F" w:rsidP="00177301">
            <w:pPr>
              <w:ind w:right="-1"/>
              <w:jc w:val="center"/>
              <w:rPr>
                <w:rFonts w:ascii="Times New Roman" w:hAnsi="Times New Roman" w:cs="Times New Roman"/>
                <w:sz w:val="24"/>
                <w:szCs w:val="24"/>
              </w:rPr>
            </w:pPr>
            <w:r w:rsidRPr="0065269F">
              <w:rPr>
                <w:rFonts w:ascii="Times New Roman" w:hAnsi="Times New Roman" w:cs="Times New Roman"/>
                <w:sz w:val="24"/>
                <w:szCs w:val="24"/>
              </w:rPr>
              <w:t>2</w:t>
            </w:r>
            <w:r w:rsidR="00177301" w:rsidRPr="0065269F">
              <w:rPr>
                <w:rFonts w:ascii="Times New Roman" w:hAnsi="Times New Roman" w:cs="Times New Roman"/>
                <w:sz w:val="24"/>
                <w:szCs w:val="24"/>
              </w:rPr>
              <w:t xml:space="preserve"> no </w:t>
            </w:r>
            <w:r w:rsidRPr="0065269F">
              <w:rPr>
                <w:rFonts w:ascii="Times New Roman" w:hAnsi="Times New Roman" w:cs="Times New Roman"/>
                <w:sz w:val="24"/>
                <w:szCs w:val="24"/>
              </w:rPr>
              <w:t>2</w:t>
            </w:r>
          </w:p>
        </w:tc>
        <w:tc>
          <w:tcPr>
            <w:tcW w:w="2859" w:type="dxa"/>
          </w:tcPr>
          <w:p w14:paraId="15D1387B" w14:textId="22DF0364" w:rsidR="00177301" w:rsidRPr="0065269F" w:rsidRDefault="0065269F" w:rsidP="00177301">
            <w:pPr>
              <w:ind w:right="-1"/>
              <w:jc w:val="center"/>
              <w:rPr>
                <w:rFonts w:ascii="Times New Roman" w:hAnsi="Times New Roman" w:cs="Times New Roman"/>
                <w:sz w:val="24"/>
                <w:szCs w:val="24"/>
              </w:rPr>
            </w:pPr>
            <w:r w:rsidRPr="0065269F">
              <w:rPr>
                <w:rFonts w:ascii="Times New Roman" w:hAnsi="Times New Roman" w:cs="Times New Roman"/>
                <w:sz w:val="24"/>
                <w:szCs w:val="24"/>
              </w:rPr>
              <w:t>69,1</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33F7B535" w:rsidR="00177301" w:rsidRPr="0065269F" w:rsidRDefault="00AF0FAD" w:rsidP="00177301">
            <w:pPr>
              <w:ind w:right="-1"/>
              <w:jc w:val="both"/>
              <w:rPr>
                <w:rFonts w:ascii="Times New Roman" w:hAnsi="Times New Roman" w:cs="Times New Roman"/>
                <w:sz w:val="24"/>
                <w:szCs w:val="24"/>
              </w:rPr>
            </w:pPr>
            <w:r w:rsidRPr="0065269F">
              <w:rPr>
                <w:rFonts w:ascii="Times New Roman" w:hAnsi="Times New Roman" w:cs="Times New Roman"/>
                <w:sz w:val="24"/>
                <w:szCs w:val="24"/>
              </w:rPr>
              <w:t xml:space="preserve">Dzīvoklis atrodas </w:t>
            </w:r>
            <w:r w:rsidR="0065269F" w:rsidRPr="0065269F">
              <w:rPr>
                <w:rFonts w:ascii="Times New Roman" w:hAnsi="Times New Roman" w:cs="Times New Roman"/>
                <w:sz w:val="24"/>
                <w:szCs w:val="24"/>
              </w:rPr>
              <w:t>divstāvu</w:t>
            </w:r>
            <w:r w:rsidRPr="0065269F">
              <w:rPr>
                <w:rFonts w:ascii="Times New Roman" w:hAnsi="Times New Roman" w:cs="Times New Roman"/>
                <w:sz w:val="24"/>
                <w:szCs w:val="24"/>
              </w:rPr>
              <w:t xml:space="preserve"> paneļu mūra ēkas </w:t>
            </w:r>
            <w:r w:rsidR="0065269F" w:rsidRPr="0065269F">
              <w:rPr>
                <w:rFonts w:ascii="Times New Roman" w:hAnsi="Times New Roman" w:cs="Times New Roman"/>
                <w:sz w:val="24"/>
                <w:szCs w:val="24"/>
              </w:rPr>
              <w:t>2</w:t>
            </w:r>
            <w:r w:rsidRPr="0065269F">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65269F" w:rsidRDefault="00177301" w:rsidP="000B552C">
            <w:pPr>
              <w:ind w:right="-1"/>
              <w:rPr>
                <w:rFonts w:ascii="Times New Roman" w:hAnsi="Times New Roman" w:cs="Times New Roman"/>
                <w:i/>
                <w:iCs/>
                <w:sz w:val="24"/>
                <w:szCs w:val="24"/>
              </w:rPr>
            </w:pPr>
            <w:r w:rsidRPr="0065269F">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65269F" w:rsidRDefault="00AF0FAD" w:rsidP="000B552C">
            <w:pPr>
              <w:tabs>
                <w:tab w:val="left" w:pos="1110"/>
              </w:tabs>
              <w:ind w:right="-1"/>
              <w:rPr>
                <w:rFonts w:ascii="Times New Roman" w:hAnsi="Times New Roman" w:cs="Times New Roman"/>
                <w:sz w:val="24"/>
                <w:szCs w:val="24"/>
              </w:rPr>
            </w:pPr>
            <w:r w:rsidRPr="0065269F">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65269F" w:rsidRDefault="00177301" w:rsidP="000B552C">
            <w:pPr>
              <w:ind w:right="-1"/>
              <w:rPr>
                <w:rFonts w:ascii="Times New Roman" w:hAnsi="Times New Roman" w:cs="Times New Roman"/>
                <w:i/>
                <w:iCs/>
                <w:sz w:val="24"/>
                <w:szCs w:val="24"/>
              </w:rPr>
            </w:pPr>
            <w:r w:rsidRPr="0065269F">
              <w:rPr>
                <w:rFonts w:ascii="Times New Roman" w:hAnsi="Times New Roman" w:cs="Times New Roman"/>
                <w:i/>
                <w:iCs/>
                <w:sz w:val="24"/>
                <w:szCs w:val="24"/>
              </w:rPr>
              <w:t>Plānojums:</w:t>
            </w:r>
          </w:p>
        </w:tc>
      </w:tr>
      <w:tr w:rsidR="0065269F" w:rsidRPr="0065269F" w14:paraId="556A3374" w14:textId="77777777" w:rsidTr="008935FB">
        <w:tc>
          <w:tcPr>
            <w:tcW w:w="8578" w:type="dxa"/>
            <w:gridSpan w:val="3"/>
          </w:tcPr>
          <w:p w14:paraId="3BDE2CD1" w14:textId="7FFFEBD3" w:rsidR="00177301" w:rsidRPr="0065269F" w:rsidRDefault="00AF0FAD" w:rsidP="003633CB">
            <w:pPr>
              <w:ind w:right="-1"/>
              <w:jc w:val="both"/>
              <w:rPr>
                <w:rFonts w:ascii="Times New Roman" w:hAnsi="Times New Roman" w:cs="Times New Roman"/>
                <w:sz w:val="24"/>
                <w:szCs w:val="24"/>
              </w:rPr>
            </w:pPr>
            <w:r w:rsidRPr="0065269F">
              <w:rPr>
                <w:rFonts w:ascii="Times New Roman" w:hAnsi="Times New Roman" w:cs="Times New Roman"/>
                <w:sz w:val="24"/>
                <w:szCs w:val="24"/>
              </w:rPr>
              <w:t xml:space="preserve">Dzīvoklī ir </w:t>
            </w:r>
            <w:r w:rsidR="0065269F" w:rsidRPr="0065269F">
              <w:rPr>
                <w:rFonts w:ascii="Times New Roman" w:hAnsi="Times New Roman" w:cs="Times New Roman"/>
                <w:sz w:val="24"/>
                <w:szCs w:val="24"/>
              </w:rPr>
              <w:t>3</w:t>
            </w:r>
            <w:r w:rsidRPr="0065269F">
              <w:rPr>
                <w:rFonts w:ascii="Times New Roman" w:hAnsi="Times New Roman" w:cs="Times New Roman"/>
                <w:sz w:val="24"/>
                <w:szCs w:val="24"/>
              </w:rPr>
              <w:t xml:space="preserve"> izolējama</w:t>
            </w:r>
            <w:r w:rsidR="0065269F" w:rsidRPr="0065269F">
              <w:rPr>
                <w:rFonts w:ascii="Times New Roman" w:hAnsi="Times New Roman" w:cs="Times New Roman"/>
                <w:sz w:val="24"/>
                <w:szCs w:val="24"/>
              </w:rPr>
              <w:t>s</w:t>
            </w:r>
            <w:r w:rsidRPr="0065269F">
              <w:rPr>
                <w:rFonts w:ascii="Times New Roman" w:hAnsi="Times New Roman" w:cs="Times New Roman"/>
                <w:sz w:val="24"/>
                <w:szCs w:val="24"/>
              </w:rPr>
              <w:t xml:space="preserve"> istaba</w:t>
            </w:r>
            <w:r w:rsidR="0065269F" w:rsidRPr="0065269F">
              <w:rPr>
                <w:rFonts w:ascii="Times New Roman" w:hAnsi="Times New Roman" w:cs="Times New Roman"/>
                <w:sz w:val="24"/>
                <w:szCs w:val="24"/>
              </w:rPr>
              <w:t>s</w:t>
            </w:r>
            <w:r w:rsidRPr="0065269F">
              <w:rPr>
                <w:rFonts w:ascii="Times New Roman" w:hAnsi="Times New Roman" w:cs="Times New Roman"/>
                <w:sz w:val="24"/>
                <w:szCs w:val="24"/>
              </w:rPr>
              <w:t>. Dzīvoklī telpu izvietojums atbilst plānam no telpu grupas kadastrālās uzmērīšanas lieta</w:t>
            </w:r>
            <w:r w:rsidR="00082549" w:rsidRPr="0065269F">
              <w:rPr>
                <w:rFonts w:ascii="Times New Roman" w:hAnsi="Times New Roman" w:cs="Times New Roman"/>
                <w:sz w:val="24"/>
                <w:szCs w:val="24"/>
              </w:rPr>
              <w:t>s</w:t>
            </w:r>
            <w:r w:rsidRPr="0065269F">
              <w:rPr>
                <w:rFonts w:ascii="Times New Roman" w:hAnsi="Times New Roman" w:cs="Times New Roman"/>
                <w:sz w:val="24"/>
                <w:szCs w:val="24"/>
              </w:rPr>
              <w:t>.</w:t>
            </w:r>
          </w:p>
        </w:tc>
      </w:tr>
      <w:tr w:rsidR="0065269F" w:rsidRPr="0065269F" w14:paraId="7B09D708" w14:textId="77777777" w:rsidTr="008935FB">
        <w:tc>
          <w:tcPr>
            <w:tcW w:w="8578" w:type="dxa"/>
            <w:gridSpan w:val="3"/>
          </w:tcPr>
          <w:p w14:paraId="70334C7A" w14:textId="797D6650" w:rsidR="00177301" w:rsidRPr="0065269F" w:rsidRDefault="00177301" w:rsidP="000B552C">
            <w:pPr>
              <w:ind w:right="-1"/>
              <w:rPr>
                <w:rFonts w:ascii="Times New Roman" w:hAnsi="Times New Roman" w:cs="Times New Roman"/>
                <w:i/>
                <w:iCs/>
                <w:sz w:val="24"/>
                <w:szCs w:val="24"/>
              </w:rPr>
            </w:pPr>
            <w:r w:rsidRPr="0065269F">
              <w:rPr>
                <w:rFonts w:ascii="Times New Roman" w:hAnsi="Times New Roman" w:cs="Times New Roman"/>
                <w:i/>
                <w:iCs/>
                <w:sz w:val="24"/>
                <w:szCs w:val="24"/>
              </w:rPr>
              <w:t>Dzīvokļa tehniskā stāvokļa raksturojums:</w:t>
            </w:r>
          </w:p>
        </w:tc>
      </w:tr>
      <w:tr w:rsidR="0065269F" w:rsidRPr="0065269F" w14:paraId="34A5C53D" w14:textId="77777777" w:rsidTr="008935FB">
        <w:tc>
          <w:tcPr>
            <w:tcW w:w="8578" w:type="dxa"/>
            <w:gridSpan w:val="3"/>
          </w:tcPr>
          <w:p w14:paraId="7F24D889" w14:textId="77777777" w:rsidR="0065269F" w:rsidRPr="0065269F" w:rsidRDefault="0065269F" w:rsidP="0065269F">
            <w:pPr>
              <w:ind w:right="-1"/>
              <w:jc w:val="both"/>
              <w:rPr>
                <w:rFonts w:ascii="Times New Roman" w:hAnsi="Times New Roman" w:cs="Times New Roman"/>
                <w:sz w:val="24"/>
                <w:szCs w:val="24"/>
              </w:rPr>
            </w:pPr>
            <w:r w:rsidRPr="0065269F">
              <w:rPr>
                <w:rFonts w:ascii="Times New Roman" w:hAnsi="Times New Roman" w:cs="Times New Roman"/>
                <w:sz w:val="24"/>
                <w:szCs w:val="24"/>
              </w:rPr>
              <w:t>Dzīvokļa telpu apdare tiek pieņemta kā apmierinošā tehniskā/vizuālā stāvoklī.</w:t>
            </w:r>
          </w:p>
          <w:p w14:paraId="4393FDB9" w14:textId="77777777" w:rsidR="0065269F" w:rsidRPr="0065269F" w:rsidRDefault="0065269F" w:rsidP="0065269F">
            <w:pPr>
              <w:ind w:right="-1"/>
              <w:jc w:val="both"/>
              <w:rPr>
                <w:rFonts w:ascii="Times New Roman" w:hAnsi="Times New Roman" w:cs="Times New Roman"/>
                <w:sz w:val="24"/>
                <w:szCs w:val="24"/>
              </w:rPr>
            </w:pPr>
            <w:r w:rsidRPr="0065269F">
              <w:rPr>
                <w:rFonts w:ascii="Times New Roman" w:hAnsi="Times New Roman" w:cs="Times New Roman"/>
                <w:sz w:val="24"/>
                <w:szCs w:val="24"/>
              </w:rPr>
              <w:t>Dzīvoklī ir komunikācijas: elektrība, aukstā ūdens apgāde, kanalizācija, ir izbūvēta vannas istaba un tualete, lokālā apkure – plīts ar sildmūri (istabā, telpa Nr. 7). Elektrība pašlaik atslēgta, skaitītājs elektrības skapī tika konstatēts. Virtuvē atrodas plīts, tvaika nosūcējs gāzes plīts vietā, izlietne ar krānu demontēti. Vannas istabā atrodas duškabīne un izlietne. Starp istabām (telpas Nr. 8 un Nr. 9) uzstādīta Jotul tipa krāsniņa ar izolētu skursteni, apdare sienā nav veikta, krāsns durtiņu stikls saplēsts, iekārtas atbilstība ugunsdrošības normām nav zināma. Dzīvoklim dubultas ārdurvis, saglabātas vecās koka durvis, tām priekšā uzstādītas metāla durvis. Vērtētājam nav iespējams pārliecināties, vai visas iekārtas un komunikācijas darbojas, vērtējumā pieņemts, ka tās iespējams atjaunot. Logi daļa mainīti – istabās, telpa Nr. 7 un Nr. 9, uzstādīti PVC pakešu logi. Telpās veiktajam kosmētiskajam remontam daļējs apdares materiālu nolietojums, vannas istabā griestos un sienās pelējuma plankumi.</w:t>
            </w:r>
          </w:p>
          <w:p w14:paraId="39D828E6" w14:textId="1F798916" w:rsidR="00177301" w:rsidRPr="0065269F" w:rsidRDefault="0065269F" w:rsidP="0065269F">
            <w:pPr>
              <w:ind w:right="-1"/>
              <w:jc w:val="both"/>
              <w:rPr>
                <w:rFonts w:ascii="Times New Roman" w:hAnsi="Times New Roman" w:cs="Times New Roman"/>
                <w:sz w:val="24"/>
                <w:szCs w:val="24"/>
              </w:rPr>
            </w:pPr>
            <w:r w:rsidRPr="0065269F">
              <w:rPr>
                <w:rFonts w:ascii="Times New Roman" w:hAnsi="Times New Roman" w:cs="Times New Roman"/>
                <w:sz w:val="24"/>
                <w:szCs w:val="24"/>
              </w:rPr>
              <w:t>Ēka nav renovēta, veikti atsevišķi uzlabojumi ēkas funkcionalitātes uzlabošanai</w:t>
            </w:r>
            <w:r w:rsidR="00AF0FAD" w:rsidRPr="0065269F">
              <w:rPr>
                <w:rFonts w:ascii="Times New Roman" w:hAnsi="Times New Roman" w:cs="Times New Roman"/>
                <w:sz w:val="24"/>
                <w:szCs w:val="24"/>
              </w:rPr>
              <w:t>.</w:t>
            </w:r>
          </w:p>
        </w:tc>
      </w:tr>
    </w:tbl>
    <w:p w14:paraId="77B3694E" w14:textId="3DB71598" w:rsidR="00DE48BC" w:rsidRPr="0065269F"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65269F">
        <w:rPr>
          <w:rFonts w:ascii="Times New Roman" w:hAnsi="Times New Roman" w:cs="Times New Roman"/>
          <w:sz w:val="24"/>
          <w:szCs w:val="24"/>
        </w:rPr>
        <w:lastRenderedPageBreak/>
        <w:t xml:space="preserve">Saskaņā ar </w:t>
      </w:r>
      <w:r w:rsidR="00C731C2" w:rsidRPr="0065269F">
        <w:rPr>
          <w:rFonts w:ascii="Times New Roman" w:hAnsi="Times New Roman" w:cs="Times New Roman"/>
          <w:sz w:val="24"/>
          <w:szCs w:val="24"/>
        </w:rPr>
        <w:t>Valsts zemes dienesta</w:t>
      </w:r>
      <w:r w:rsidRPr="0065269F">
        <w:rPr>
          <w:rFonts w:ascii="Times New Roman" w:hAnsi="Times New Roman" w:cs="Times New Roman"/>
          <w:sz w:val="24"/>
          <w:szCs w:val="24"/>
        </w:rPr>
        <w:t xml:space="preserve"> kadastra datiem </w:t>
      </w:r>
      <w:r w:rsidR="000B552C" w:rsidRPr="0065269F">
        <w:rPr>
          <w:rFonts w:ascii="Times New Roman" w:hAnsi="Times New Roman" w:cs="Times New Roman"/>
          <w:sz w:val="24"/>
          <w:szCs w:val="24"/>
        </w:rPr>
        <w:t>dzīvokļa</w:t>
      </w:r>
      <w:r w:rsidRPr="0065269F">
        <w:rPr>
          <w:rFonts w:ascii="Times New Roman" w:hAnsi="Times New Roman" w:cs="Times New Roman"/>
          <w:sz w:val="24"/>
          <w:szCs w:val="24"/>
        </w:rPr>
        <w:t xml:space="preserve"> īpašum</w:t>
      </w:r>
      <w:r w:rsidR="000B552C" w:rsidRPr="0065269F">
        <w:rPr>
          <w:rFonts w:ascii="Times New Roman" w:hAnsi="Times New Roman" w:cs="Times New Roman"/>
          <w:sz w:val="24"/>
          <w:szCs w:val="24"/>
        </w:rPr>
        <w:t>a</w:t>
      </w:r>
      <w:r w:rsidRPr="0065269F">
        <w:rPr>
          <w:rFonts w:ascii="Times New Roman" w:hAnsi="Times New Roman" w:cs="Times New Roman"/>
          <w:sz w:val="24"/>
          <w:szCs w:val="24"/>
        </w:rPr>
        <w:t xml:space="preserve"> </w:t>
      </w:r>
      <w:r w:rsidR="0065269F" w:rsidRPr="0065269F">
        <w:rPr>
          <w:rFonts w:ascii="Times New Roman" w:hAnsi="Times New Roman" w:cs="Times New Roman"/>
          <w:sz w:val="24"/>
          <w:szCs w:val="24"/>
        </w:rPr>
        <w:t>“</w:t>
      </w:r>
      <w:r w:rsidR="0065269F" w:rsidRPr="0065269F">
        <w:rPr>
          <w:rFonts w:ascii="Times New Roman" w:hAnsi="Times New Roman" w:cs="Times New Roman"/>
          <w:sz w:val="24"/>
          <w:szCs w:val="24"/>
        </w:rPr>
        <w:t xml:space="preserve">Papardes” - 11, Laidos, Laidu pagastā, Kuldīgas novadā, universālā kadastrālā vērtība uz 05.12.2025. ir 1931,00 EUR (viens tūkstotis deviņi simti trīsdesmit viens </w:t>
      </w:r>
      <w:r w:rsidR="00D60572" w:rsidRPr="0065269F">
        <w:rPr>
          <w:rFonts w:ascii="Times New Roman" w:hAnsi="Times New Roman" w:cs="Times New Roman"/>
          <w:i/>
          <w:iCs/>
          <w:sz w:val="24"/>
          <w:szCs w:val="24"/>
        </w:rPr>
        <w:t xml:space="preserve">euro, </w:t>
      </w:r>
      <w:r w:rsidR="00D60572" w:rsidRPr="0065269F">
        <w:rPr>
          <w:rFonts w:ascii="Times New Roman" w:hAnsi="Times New Roman" w:cs="Times New Roman"/>
          <w:sz w:val="24"/>
          <w:szCs w:val="24"/>
        </w:rPr>
        <w:t>00</w:t>
      </w:r>
      <w:r w:rsidR="00D60572" w:rsidRPr="0065269F">
        <w:rPr>
          <w:rFonts w:ascii="Times New Roman" w:hAnsi="Times New Roman" w:cs="Times New Roman"/>
          <w:i/>
          <w:iCs/>
          <w:sz w:val="24"/>
          <w:szCs w:val="24"/>
        </w:rPr>
        <w:t xml:space="preserve"> </w:t>
      </w:r>
      <w:r w:rsidR="00D60572" w:rsidRPr="0065269F">
        <w:rPr>
          <w:rFonts w:ascii="Times New Roman" w:hAnsi="Times New Roman" w:cs="Times New Roman"/>
          <w:sz w:val="24"/>
          <w:szCs w:val="24"/>
        </w:rPr>
        <w:t>centi</w:t>
      </w:r>
      <w:r w:rsidR="003633CB" w:rsidRPr="0065269F">
        <w:rPr>
          <w:rFonts w:ascii="Times New Roman" w:hAnsi="Times New Roman" w:cs="Times New Roman"/>
          <w:sz w:val="24"/>
          <w:szCs w:val="24"/>
        </w:rPr>
        <w:t>)</w:t>
      </w:r>
      <w:r w:rsidRPr="0065269F">
        <w:rPr>
          <w:rFonts w:ascii="Times New Roman" w:hAnsi="Times New Roman" w:cs="Times New Roman"/>
          <w:sz w:val="24"/>
          <w:szCs w:val="24"/>
        </w:rPr>
        <w:t>.</w:t>
      </w:r>
    </w:p>
    <w:p w14:paraId="6B4D27C5" w14:textId="44B341BE" w:rsidR="005143A3" w:rsidRPr="0065269F"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77301" w:rsidRPr="0065269F">
        <w:rPr>
          <w:rFonts w:ascii="Times New Roman" w:eastAsia="Times New Roman" w:hAnsi="Times New Roman" w:cs="Times New Roman"/>
          <w:sz w:val="24"/>
          <w:szCs w:val="24"/>
          <w:lang w:eastAsia="lv-LV"/>
        </w:rPr>
        <w:t>Laidu</w:t>
      </w:r>
      <w:r w:rsidRPr="0065269F">
        <w:rPr>
          <w:rFonts w:ascii="Times New Roman" w:eastAsia="Times New Roman" w:hAnsi="Times New Roman" w:cs="Times New Roman"/>
          <w:sz w:val="24"/>
          <w:szCs w:val="24"/>
          <w:lang w:eastAsia="lv-LV"/>
        </w:rPr>
        <w:t xml:space="preserve"> pagasta pārvaldes vadītāju </w:t>
      </w:r>
      <w:r w:rsidR="00177301" w:rsidRPr="0065269F">
        <w:rPr>
          <w:rFonts w:ascii="Times New Roman" w:eastAsia="Times New Roman" w:hAnsi="Times New Roman" w:cs="Times New Roman"/>
          <w:sz w:val="24"/>
          <w:szCs w:val="24"/>
          <w:lang w:eastAsia="lv-LV"/>
        </w:rPr>
        <w:t>Andri Neilandu</w:t>
      </w:r>
      <w:r w:rsidRPr="0065269F">
        <w:rPr>
          <w:rFonts w:ascii="Times New Roman" w:eastAsia="Times New Roman" w:hAnsi="Times New Roman" w:cs="Times New Roman"/>
          <w:sz w:val="24"/>
          <w:szCs w:val="24"/>
          <w:lang w:eastAsia="lv-LV"/>
        </w:rPr>
        <w:t>, tālrunis +371</w:t>
      </w:r>
      <w:r w:rsidR="00FD6539" w:rsidRPr="0065269F">
        <w:rPr>
          <w:rFonts w:ascii="Times New Roman" w:eastAsia="Times New Roman" w:hAnsi="Times New Roman" w:cs="Times New Roman"/>
          <w:sz w:val="24"/>
          <w:szCs w:val="24"/>
          <w:lang w:eastAsia="lv-LV"/>
        </w:rPr>
        <w:t xml:space="preserve"> </w:t>
      </w:r>
      <w:r w:rsidRPr="0065269F">
        <w:rPr>
          <w:rFonts w:ascii="Times New Roman" w:eastAsia="Times New Roman" w:hAnsi="Times New Roman" w:cs="Times New Roman"/>
          <w:sz w:val="24"/>
          <w:szCs w:val="24"/>
          <w:lang w:eastAsia="lv-LV"/>
        </w:rPr>
        <w:t>2</w:t>
      </w:r>
      <w:r w:rsidR="000B552C" w:rsidRPr="0065269F">
        <w:rPr>
          <w:rFonts w:ascii="Times New Roman" w:eastAsia="Times New Roman" w:hAnsi="Times New Roman" w:cs="Times New Roman"/>
          <w:sz w:val="24"/>
          <w:szCs w:val="24"/>
          <w:lang w:eastAsia="lv-LV"/>
        </w:rPr>
        <w:t>9387398</w:t>
      </w:r>
      <w:r w:rsidRPr="0065269F">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Papildus ziņas par izsolāmo objektu ir iespējams saņemt, nosūtot pieprasījumu uz e-</w:t>
      </w:r>
      <w:r w:rsidRPr="003633CB">
        <w:rPr>
          <w:rFonts w:ascii="Times New Roman" w:eastAsia="Times New Roman" w:hAnsi="Times New Roman" w:cs="Times New Roman"/>
          <w:sz w:val="24"/>
          <w:szCs w:val="24"/>
          <w:lang w:eastAsia="lv-LV"/>
        </w:rPr>
        <w:t xml:space="preserv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65269F"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w:t>
      </w:r>
      <w:r w:rsidRPr="0065269F">
        <w:rPr>
          <w:rFonts w:ascii="Times New Roman" w:hAnsi="Times New Roman" w:cs="Times New Roman"/>
          <w:sz w:val="24"/>
          <w:szCs w:val="24"/>
        </w:rPr>
        <w:t xml:space="preserve">izsole). </w:t>
      </w:r>
    </w:p>
    <w:p w14:paraId="143FCAE3" w14:textId="63E9034B" w:rsidR="00172193" w:rsidRPr="0065269F"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 xml:space="preserve">Maksāšanas </w:t>
      </w:r>
      <w:r w:rsidRPr="0065269F">
        <w:rPr>
          <w:rFonts w:ascii="Times New Roman" w:hAnsi="Times New Roman" w:cs="Times New Roman"/>
          <w:sz w:val="24"/>
          <w:szCs w:val="24"/>
        </w:rPr>
        <w:t>līdzekļi</w:t>
      </w:r>
      <w:r w:rsidRPr="0065269F">
        <w:rPr>
          <w:rFonts w:ascii="Times New Roman" w:eastAsia="Times New Roman" w:hAnsi="Times New Roman" w:cs="Times New Roman"/>
          <w:sz w:val="24"/>
          <w:szCs w:val="24"/>
          <w:lang w:eastAsia="lv-LV"/>
        </w:rPr>
        <w:t xml:space="preserve"> - 100% e</w:t>
      </w:r>
      <w:r w:rsidR="00E11701" w:rsidRPr="0065269F">
        <w:rPr>
          <w:rFonts w:ascii="Times New Roman" w:eastAsia="Times New Roman" w:hAnsi="Times New Roman" w:cs="Times New Roman"/>
          <w:sz w:val="24"/>
          <w:szCs w:val="24"/>
          <w:lang w:eastAsia="lv-LV"/>
        </w:rPr>
        <w:t>i</w:t>
      </w:r>
      <w:r w:rsidRPr="0065269F">
        <w:rPr>
          <w:rFonts w:ascii="Times New Roman" w:eastAsia="Times New Roman" w:hAnsi="Times New Roman" w:cs="Times New Roman"/>
          <w:sz w:val="24"/>
          <w:szCs w:val="24"/>
          <w:lang w:eastAsia="lv-LV"/>
        </w:rPr>
        <w:t xml:space="preserve">ro. </w:t>
      </w:r>
    </w:p>
    <w:p w14:paraId="2C1BD20B" w14:textId="6AADC787" w:rsidR="006533B9" w:rsidRPr="0065269F"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 xml:space="preserve">Nekustamā īpašuma izsoles </w:t>
      </w:r>
      <w:r w:rsidR="00172193" w:rsidRPr="0065269F">
        <w:rPr>
          <w:rFonts w:ascii="Times New Roman" w:eastAsia="Times New Roman" w:hAnsi="Times New Roman" w:cs="Times New Roman"/>
          <w:sz w:val="24"/>
          <w:szCs w:val="24"/>
          <w:lang w:eastAsia="lv-LV"/>
        </w:rPr>
        <w:t>sākuma cena (</w:t>
      </w:r>
      <w:r w:rsidRPr="0065269F">
        <w:rPr>
          <w:rFonts w:ascii="Times New Roman" w:eastAsia="Times New Roman" w:hAnsi="Times New Roman" w:cs="Times New Roman"/>
          <w:sz w:val="24"/>
          <w:szCs w:val="24"/>
          <w:lang w:eastAsia="lv-LV"/>
        </w:rPr>
        <w:t>nosacītā cena</w:t>
      </w:r>
      <w:r w:rsidR="00172193" w:rsidRPr="0065269F">
        <w:rPr>
          <w:rFonts w:ascii="Times New Roman" w:eastAsia="Times New Roman" w:hAnsi="Times New Roman" w:cs="Times New Roman"/>
          <w:sz w:val="24"/>
          <w:szCs w:val="24"/>
          <w:lang w:eastAsia="lv-LV"/>
        </w:rPr>
        <w:t>)</w:t>
      </w:r>
      <w:r w:rsidR="009D3872" w:rsidRPr="0065269F">
        <w:rPr>
          <w:rFonts w:ascii="Times New Roman" w:eastAsia="Times New Roman" w:hAnsi="Times New Roman" w:cs="Times New Roman"/>
          <w:sz w:val="24"/>
          <w:szCs w:val="24"/>
          <w:lang w:eastAsia="lv-LV"/>
        </w:rPr>
        <w:t xml:space="preserve"> </w:t>
      </w:r>
      <w:r w:rsidR="0065269F" w:rsidRPr="0065269F">
        <w:rPr>
          <w:rFonts w:ascii="Times New Roman" w:hAnsi="Times New Roman" w:cs="Times New Roman"/>
          <w:b/>
          <w:bCs/>
          <w:sz w:val="24"/>
          <w:szCs w:val="24"/>
        </w:rPr>
        <w:t>2100</w:t>
      </w:r>
      <w:r w:rsidR="001A7C7A" w:rsidRPr="0065269F">
        <w:rPr>
          <w:rFonts w:ascii="Times New Roman" w:hAnsi="Times New Roman" w:cs="Times New Roman"/>
          <w:b/>
          <w:bCs/>
          <w:sz w:val="24"/>
          <w:szCs w:val="24"/>
        </w:rPr>
        <w:t xml:space="preserve">,00 EUR </w:t>
      </w:r>
      <w:r w:rsidR="001A7C7A" w:rsidRPr="0065269F">
        <w:rPr>
          <w:rFonts w:ascii="Times New Roman" w:hAnsi="Times New Roman" w:cs="Times New Roman"/>
          <w:sz w:val="24"/>
          <w:szCs w:val="24"/>
        </w:rPr>
        <w:t>(</w:t>
      </w:r>
      <w:r w:rsidR="0065269F" w:rsidRPr="0065269F">
        <w:rPr>
          <w:rFonts w:ascii="Times New Roman" w:hAnsi="Times New Roman" w:cs="Times New Roman"/>
          <w:sz w:val="24"/>
          <w:szCs w:val="24"/>
        </w:rPr>
        <w:t xml:space="preserve">divi tūkstoši viens simts </w:t>
      </w:r>
      <w:r w:rsidR="00D60572" w:rsidRPr="0065269F">
        <w:rPr>
          <w:rFonts w:ascii="Times New Roman" w:hAnsi="Times New Roman" w:cs="Times New Roman"/>
          <w:i/>
          <w:iCs/>
          <w:sz w:val="24"/>
          <w:szCs w:val="24"/>
        </w:rPr>
        <w:t xml:space="preserve">euro, </w:t>
      </w:r>
      <w:r w:rsidR="00D60572" w:rsidRPr="0065269F">
        <w:rPr>
          <w:rFonts w:ascii="Times New Roman" w:hAnsi="Times New Roman" w:cs="Times New Roman"/>
          <w:sz w:val="24"/>
          <w:szCs w:val="24"/>
        </w:rPr>
        <w:t>00</w:t>
      </w:r>
      <w:r w:rsidR="00D60572" w:rsidRPr="0065269F">
        <w:rPr>
          <w:rFonts w:ascii="Times New Roman" w:hAnsi="Times New Roman" w:cs="Times New Roman"/>
          <w:i/>
          <w:iCs/>
          <w:sz w:val="24"/>
          <w:szCs w:val="24"/>
        </w:rPr>
        <w:t xml:space="preserve"> </w:t>
      </w:r>
      <w:r w:rsidR="00D60572" w:rsidRPr="0065269F">
        <w:rPr>
          <w:rFonts w:ascii="Times New Roman" w:hAnsi="Times New Roman" w:cs="Times New Roman"/>
          <w:sz w:val="24"/>
          <w:szCs w:val="24"/>
        </w:rPr>
        <w:t>centi</w:t>
      </w:r>
      <w:r w:rsidR="001A7C7A" w:rsidRPr="0065269F">
        <w:rPr>
          <w:rFonts w:ascii="Times New Roman" w:hAnsi="Times New Roman" w:cs="Times New Roman"/>
          <w:sz w:val="24"/>
          <w:szCs w:val="24"/>
        </w:rPr>
        <w:t>)</w:t>
      </w:r>
      <w:r w:rsidR="007D44C8" w:rsidRPr="0065269F">
        <w:rPr>
          <w:rFonts w:ascii="Times New Roman" w:eastAsia="Times New Roman" w:hAnsi="Times New Roman" w:cs="Times New Roman"/>
          <w:sz w:val="24"/>
          <w:szCs w:val="24"/>
          <w:lang w:eastAsia="lv-LV"/>
        </w:rPr>
        <w:t>.</w:t>
      </w:r>
    </w:p>
    <w:p w14:paraId="4255B2C2" w14:textId="0C69A1F8" w:rsidR="006533B9" w:rsidRPr="0065269F"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Izsolāmā objekta cenas paaugstinājum</w:t>
      </w:r>
      <w:r w:rsidR="0036781B" w:rsidRPr="0065269F">
        <w:rPr>
          <w:rFonts w:ascii="Times New Roman" w:eastAsia="Times New Roman" w:hAnsi="Times New Roman" w:cs="Times New Roman"/>
          <w:sz w:val="24"/>
          <w:szCs w:val="24"/>
          <w:lang w:eastAsia="lv-LV"/>
        </w:rPr>
        <w:t>s izsoles gaitā (solis) –</w:t>
      </w:r>
      <w:r w:rsidR="000B552C" w:rsidRPr="0065269F">
        <w:rPr>
          <w:rFonts w:ascii="Times New Roman" w:eastAsia="Times New Roman" w:hAnsi="Times New Roman" w:cs="Times New Roman"/>
          <w:sz w:val="24"/>
          <w:szCs w:val="24"/>
          <w:lang w:eastAsia="lv-LV"/>
        </w:rPr>
        <w:t>5</w:t>
      </w:r>
      <w:r w:rsidR="0036781B" w:rsidRPr="0065269F">
        <w:rPr>
          <w:rFonts w:ascii="Times New Roman" w:eastAsia="Times New Roman" w:hAnsi="Times New Roman" w:cs="Times New Roman"/>
          <w:sz w:val="24"/>
          <w:szCs w:val="24"/>
          <w:lang w:eastAsia="lv-LV"/>
        </w:rPr>
        <w:t>0</w:t>
      </w:r>
      <w:r w:rsidRPr="0065269F">
        <w:rPr>
          <w:rFonts w:ascii="Times New Roman" w:eastAsia="Times New Roman" w:hAnsi="Times New Roman" w:cs="Times New Roman"/>
          <w:sz w:val="24"/>
          <w:szCs w:val="24"/>
          <w:lang w:eastAsia="lv-LV"/>
        </w:rPr>
        <w:t>,</w:t>
      </w:r>
      <w:r w:rsidR="00F16832" w:rsidRPr="0065269F">
        <w:rPr>
          <w:rFonts w:ascii="Times New Roman" w:eastAsia="Times New Roman" w:hAnsi="Times New Roman" w:cs="Times New Roman"/>
          <w:sz w:val="24"/>
          <w:szCs w:val="24"/>
          <w:lang w:eastAsia="lv-LV"/>
        </w:rPr>
        <w:t>00</w:t>
      </w:r>
      <w:r w:rsidR="00994C14" w:rsidRPr="0065269F">
        <w:rPr>
          <w:rFonts w:ascii="Times New Roman" w:eastAsia="Times New Roman" w:hAnsi="Times New Roman" w:cs="Times New Roman"/>
          <w:sz w:val="24"/>
          <w:szCs w:val="24"/>
          <w:lang w:eastAsia="lv-LV"/>
        </w:rPr>
        <w:t xml:space="preserve"> EUR</w:t>
      </w:r>
      <w:r w:rsidRPr="0065269F">
        <w:rPr>
          <w:rFonts w:ascii="Times New Roman" w:eastAsia="Times New Roman" w:hAnsi="Times New Roman" w:cs="Times New Roman"/>
          <w:sz w:val="24"/>
          <w:szCs w:val="24"/>
          <w:lang w:eastAsia="lv-LV"/>
        </w:rPr>
        <w:t>.</w:t>
      </w:r>
    </w:p>
    <w:p w14:paraId="4C2F89D5" w14:textId="0A2042C7" w:rsidR="00172193" w:rsidRPr="0065269F"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eastAsia="Times New Roman" w:hAnsi="Times New Roman" w:cs="Times New Roman"/>
          <w:sz w:val="24"/>
          <w:szCs w:val="24"/>
          <w:lang w:eastAsia="lv-LV"/>
        </w:rPr>
        <w:t>Drošības nauda</w:t>
      </w:r>
      <w:r w:rsidR="00172193" w:rsidRPr="0065269F">
        <w:rPr>
          <w:rFonts w:ascii="Times New Roman" w:eastAsia="Times New Roman" w:hAnsi="Times New Roman" w:cs="Times New Roman"/>
          <w:sz w:val="24"/>
          <w:szCs w:val="24"/>
          <w:lang w:eastAsia="lv-LV"/>
        </w:rPr>
        <w:t xml:space="preserve"> (nodrošinājums)</w:t>
      </w:r>
      <w:r w:rsidRPr="0065269F">
        <w:rPr>
          <w:rFonts w:ascii="Times New Roman" w:eastAsia="Times New Roman" w:hAnsi="Times New Roman" w:cs="Times New Roman"/>
          <w:sz w:val="24"/>
          <w:szCs w:val="24"/>
          <w:lang w:eastAsia="lv-LV"/>
        </w:rPr>
        <w:t xml:space="preserve"> – 10%</w:t>
      </w:r>
      <w:r w:rsidR="0036781B" w:rsidRPr="0065269F">
        <w:rPr>
          <w:rFonts w:ascii="Times New Roman" w:eastAsia="Times New Roman" w:hAnsi="Times New Roman" w:cs="Times New Roman"/>
          <w:sz w:val="24"/>
          <w:szCs w:val="24"/>
          <w:lang w:eastAsia="lv-LV"/>
        </w:rPr>
        <w:t xml:space="preserve"> no nosacītās cenas</w:t>
      </w:r>
      <w:r w:rsidR="003736E1" w:rsidRPr="0065269F">
        <w:rPr>
          <w:rFonts w:ascii="Times New Roman" w:eastAsia="Times New Roman" w:hAnsi="Times New Roman" w:cs="Times New Roman"/>
          <w:sz w:val="24"/>
          <w:szCs w:val="24"/>
          <w:lang w:eastAsia="lv-LV"/>
        </w:rPr>
        <w:t xml:space="preserve"> </w:t>
      </w:r>
      <w:r w:rsidR="009A2AF2" w:rsidRPr="0065269F">
        <w:rPr>
          <w:rFonts w:ascii="Times New Roman" w:eastAsia="Times New Roman" w:hAnsi="Times New Roman" w:cs="Times New Roman"/>
          <w:sz w:val="24"/>
          <w:szCs w:val="24"/>
          <w:lang w:eastAsia="lv-LV"/>
        </w:rPr>
        <w:t>–</w:t>
      </w:r>
      <w:r w:rsidR="0036781B" w:rsidRPr="0065269F">
        <w:rPr>
          <w:rFonts w:ascii="Times New Roman" w:eastAsia="Times New Roman" w:hAnsi="Times New Roman" w:cs="Times New Roman"/>
          <w:sz w:val="24"/>
          <w:szCs w:val="24"/>
          <w:lang w:eastAsia="lv-LV"/>
        </w:rPr>
        <w:t xml:space="preserve"> </w:t>
      </w:r>
      <w:r w:rsidR="0065269F" w:rsidRPr="0065269F">
        <w:rPr>
          <w:rFonts w:ascii="Times New Roman" w:eastAsia="Times New Roman" w:hAnsi="Times New Roman" w:cs="Times New Roman"/>
          <w:sz w:val="24"/>
          <w:szCs w:val="24"/>
          <w:lang w:eastAsia="lv-LV"/>
        </w:rPr>
        <w:t>210</w:t>
      </w:r>
      <w:r w:rsidR="0068549D" w:rsidRPr="0065269F">
        <w:rPr>
          <w:rFonts w:ascii="Times New Roman" w:eastAsia="Times New Roman" w:hAnsi="Times New Roman" w:cs="Times New Roman"/>
          <w:sz w:val="24"/>
          <w:szCs w:val="24"/>
          <w:lang w:eastAsia="lv-LV"/>
        </w:rPr>
        <w:t>,00</w:t>
      </w:r>
      <w:r w:rsidR="00994C14" w:rsidRPr="0065269F">
        <w:rPr>
          <w:rFonts w:ascii="Times New Roman" w:eastAsia="Times New Roman" w:hAnsi="Times New Roman" w:cs="Times New Roman"/>
          <w:sz w:val="24"/>
          <w:szCs w:val="24"/>
          <w:lang w:eastAsia="lv-LV"/>
        </w:rPr>
        <w:t xml:space="preserve"> EUR</w:t>
      </w:r>
      <w:r w:rsidRPr="0065269F">
        <w:rPr>
          <w:rFonts w:ascii="Times New Roman" w:eastAsia="Times New Roman" w:hAnsi="Times New Roman" w:cs="Times New Roman"/>
          <w:sz w:val="24"/>
          <w:szCs w:val="24"/>
          <w:lang w:eastAsia="lv-LV"/>
        </w:rPr>
        <w:t>.</w:t>
      </w:r>
    </w:p>
    <w:p w14:paraId="555CE0D1" w14:textId="00A86EE9"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5269F">
        <w:rPr>
          <w:rFonts w:ascii="Times New Roman" w:hAnsi="Times New Roman" w:cs="Times New Roman"/>
          <w:sz w:val="24"/>
          <w:szCs w:val="24"/>
          <w:lang w:bidi="he-IL"/>
        </w:rPr>
        <w:t xml:space="preserve">Personai, kura vēlas piedalīties izsolē, </w:t>
      </w:r>
      <w:r w:rsidRPr="0065269F">
        <w:rPr>
          <w:rStyle w:val="Strong"/>
          <w:rFonts w:ascii="Times New Roman" w:hAnsi="Times New Roman" w:cs="Times New Roman"/>
          <w:sz w:val="24"/>
          <w:szCs w:val="24"/>
          <w:lang w:bidi="he-IL"/>
        </w:rPr>
        <w:t xml:space="preserve">līdz </w:t>
      </w:r>
      <w:r w:rsidR="00A61BB3" w:rsidRPr="0065269F">
        <w:rPr>
          <w:rStyle w:val="Strong"/>
          <w:rFonts w:ascii="Times New Roman" w:hAnsi="Times New Roman" w:cs="Times New Roman"/>
          <w:sz w:val="24"/>
          <w:szCs w:val="24"/>
          <w:lang w:bidi="he-IL"/>
        </w:rPr>
        <w:t>2026</w:t>
      </w:r>
      <w:r w:rsidRPr="0065269F">
        <w:rPr>
          <w:rStyle w:val="Strong"/>
          <w:rFonts w:ascii="Times New Roman" w:hAnsi="Times New Roman" w:cs="Times New Roman"/>
          <w:sz w:val="24"/>
          <w:szCs w:val="24"/>
          <w:lang w:bidi="he-IL"/>
        </w:rPr>
        <w:t xml:space="preserve">. gada </w:t>
      </w:r>
      <w:r w:rsidR="00A61BB3" w:rsidRPr="0065269F">
        <w:rPr>
          <w:rStyle w:val="Strong"/>
          <w:rFonts w:ascii="Times New Roman" w:hAnsi="Times New Roman" w:cs="Times New Roman"/>
          <w:sz w:val="24"/>
          <w:szCs w:val="24"/>
          <w:lang w:bidi="he-IL"/>
        </w:rPr>
        <w:t>11.maija</w:t>
      </w:r>
      <w:r w:rsidR="00763975" w:rsidRPr="0065269F">
        <w:rPr>
          <w:rStyle w:val="Strong"/>
          <w:rFonts w:ascii="Times New Roman" w:hAnsi="Times New Roman" w:cs="Times New Roman"/>
          <w:sz w:val="24"/>
          <w:szCs w:val="24"/>
          <w:lang w:bidi="he-IL"/>
        </w:rPr>
        <w:t xml:space="preserve"> plkst.23</w:t>
      </w:r>
      <w:r w:rsidR="00590BE3" w:rsidRPr="0065269F">
        <w:rPr>
          <w:rStyle w:val="Strong"/>
          <w:rFonts w:ascii="Times New Roman" w:hAnsi="Times New Roman" w:cs="Times New Roman"/>
          <w:sz w:val="24"/>
          <w:szCs w:val="24"/>
          <w:lang w:bidi="he-IL"/>
        </w:rPr>
        <w:t>.</w:t>
      </w:r>
      <w:r w:rsidR="00763975" w:rsidRPr="0065269F">
        <w:rPr>
          <w:rStyle w:val="Strong"/>
          <w:rFonts w:ascii="Times New Roman" w:hAnsi="Times New Roman" w:cs="Times New Roman"/>
          <w:sz w:val="24"/>
          <w:szCs w:val="24"/>
          <w:lang w:bidi="he-IL"/>
        </w:rPr>
        <w:t>59</w:t>
      </w:r>
      <w:r w:rsidRPr="0065269F">
        <w:rPr>
          <w:rStyle w:val="Strong"/>
          <w:rFonts w:ascii="Times New Roman" w:hAnsi="Times New Roman" w:cs="Times New Roman"/>
          <w:sz w:val="24"/>
          <w:szCs w:val="24"/>
          <w:lang w:bidi="he-IL"/>
        </w:rPr>
        <w:t xml:space="preserve"> </w:t>
      </w:r>
      <w:r w:rsidRPr="0065269F">
        <w:rPr>
          <w:rFonts w:ascii="Times New Roman" w:hAnsi="Times New Roman" w:cs="Times New Roman"/>
          <w:sz w:val="24"/>
          <w:szCs w:val="24"/>
          <w:lang w:bidi="he-IL"/>
        </w:rPr>
        <w:t xml:space="preserve">jāiemaksā </w:t>
      </w:r>
      <w:r w:rsidRPr="0065269F">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65269F">
        <w:rPr>
          <w:rFonts w:ascii="Times New Roman" w:eastAsia="Times New Roman" w:hAnsi="Times New Roman" w:cs="Times New Roman"/>
          <w:sz w:val="24"/>
          <w:szCs w:val="24"/>
          <w:lang w:eastAsia="lv-LV"/>
        </w:rPr>
        <w:t>AS “</w:t>
      </w:r>
      <w:r w:rsidRPr="0065269F">
        <w:rPr>
          <w:rFonts w:ascii="Times New Roman" w:eastAsia="Times New Roman" w:hAnsi="Times New Roman" w:cs="Times New Roman"/>
          <w:sz w:val="24"/>
          <w:szCs w:val="24"/>
          <w:lang w:eastAsia="lv-LV"/>
        </w:rPr>
        <w:t>SEB banka</w:t>
      </w:r>
      <w:r w:rsidR="00FE3055" w:rsidRPr="0065269F">
        <w:rPr>
          <w:rFonts w:ascii="Times New Roman" w:eastAsia="Times New Roman" w:hAnsi="Times New Roman" w:cs="Times New Roman"/>
          <w:sz w:val="24"/>
          <w:szCs w:val="24"/>
          <w:lang w:eastAsia="lv-LV"/>
        </w:rPr>
        <w:t>”</w:t>
      </w:r>
      <w:r w:rsidRPr="0065269F">
        <w:rPr>
          <w:rFonts w:ascii="Times New Roman" w:eastAsia="Times New Roman" w:hAnsi="Times New Roman" w:cs="Times New Roman"/>
          <w:sz w:val="24"/>
          <w:szCs w:val="24"/>
          <w:lang w:eastAsia="lv-LV"/>
        </w:rPr>
        <w:t xml:space="preserve">, kods UNLALV2X, konts LV26UNLA0011001130401, norādot: </w:t>
      </w:r>
      <w:r w:rsidR="00C731C2" w:rsidRPr="0065269F">
        <w:rPr>
          <w:rFonts w:ascii="Times New Roman" w:eastAsia="Times New Roman" w:hAnsi="Times New Roman" w:cs="Times New Roman"/>
          <w:i/>
          <w:iCs/>
          <w:sz w:val="24"/>
          <w:szCs w:val="24"/>
          <w:lang w:eastAsia="lv-LV"/>
        </w:rPr>
        <w:t>“</w:t>
      </w:r>
      <w:r w:rsidR="0065269F" w:rsidRPr="0065269F">
        <w:rPr>
          <w:rFonts w:ascii="Times New Roman" w:eastAsia="Times New Roman" w:hAnsi="Times New Roman" w:cs="Times New Roman"/>
          <w:i/>
          <w:sz w:val="24"/>
          <w:szCs w:val="24"/>
          <w:lang w:eastAsia="lv-LV"/>
        </w:rPr>
        <w:t>Papardes – 11, Laidu</w:t>
      </w:r>
      <w:r w:rsidR="00B3242B" w:rsidRPr="0065269F">
        <w:rPr>
          <w:rFonts w:ascii="Times New Roman" w:eastAsia="Times New Roman" w:hAnsi="Times New Roman" w:cs="Times New Roman"/>
          <w:i/>
          <w:sz w:val="24"/>
          <w:szCs w:val="24"/>
          <w:lang w:eastAsia="lv-LV"/>
        </w:rPr>
        <w:t xml:space="preserve"> </w:t>
      </w:r>
      <w:r w:rsidR="003F571B" w:rsidRPr="0065269F">
        <w:rPr>
          <w:rFonts w:ascii="Times New Roman" w:eastAsia="Times New Roman" w:hAnsi="Times New Roman" w:cs="Times New Roman"/>
          <w:i/>
          <w:sz w:val="24"/>
          <w:szCs w:val="24"/>
          <w:lang w:eastAsia="lv-LV"/>
        </w:rPr>
        <w:t>pag.</w:t>
      </w:r>
      <w:r w:rsidRPr="0065269F">
        <w:rPr>
          <w:rFonts w:ascii="Times New Roman" w:eastAsia="Times New Roman" w:hAnsi="Times New Roman" w:cs="Times New Roman"/>
          <w:i/>
          <w:sz w:val="24"/>
          <w:szCs w:val="24"/>
          <w:lang w:eastAsia="lv-LV"/>
        </w:rPr>
        <w:t xml:space="preserve">, izsole” </w:t>
      </w:r>
      <w:r w:rsidRPr="0065269F">
        <w:rPr>
          <w:rFonts w:ascii="Times New Roman" w:hAnsi="Times New Roman" w:cs="Times New Roman"/>
          <w:sz w:val="24"/>
          <w:szCs w:val="24"/>
          <w:lang w:bidi="he-IL"/>
        </w:rPr>
        <w:t>nodrošinājums 10% apmēr</w:t>
      </w:r>
      <w:r w:rsidR="001668E7" w:rsidRPr="0065269F">
        <w:rPr>
          <w:rFonts w:ascii="Times New Roman" w:hAnsi="Times New Roman" w:cs="Times New Roman"/>
          <w:sz w:val="24"/>
          <w:szCs w:val="24"/>
          <w:lang w:bidi="he-IL"/>
        </w:rPr>
        <w:t>ā</w:t>
      </w:r>
      <w:r w:rsidRPr="0065269F">
        <w:rPr>
          <w:rFonts w:ascii="Times New Roman" w:hAnsi="Times New Roman" w:cs="Times New Roman"/>
          <w:sz w:val="24"/>
          <w:szCs w:val="24"/>
          <w:lang w:bidi="he-IL"/>
        </w:rPr>
        <w:t xml:space="preserve"> no izsolāmā objekta nosacītās cenas </w:t>
      </w:r>
      <w:r w:rsidR="0065269F" w:rsidRPr="0065269F">
        <w:rPr>
          <w:rFonts w:ascii="Times New Roman" w:eastAsia="Times New Roman" w:hAnsi="Times New Roman" w:cs="Times New Roman"/>
          <w:sz w:val="24"/>
          <w:szCs w:val="24"/>
          <w:lang w:eastAsia="lv-LV"/>
        </w:rPr>
        <w:t>210</w:t>
      </w:r>
      <w:r w:rsidR="00F06547" w:rsidRPr="0065269F">
        <w:rPr>
          <w:rFonts w:ascii="Times New Roman" w:eastAsia="Times New Roman" w:hAnsi="Times New Roman" w:cs="Times New Roman"/>
          <w:sz w:val="24"/>
          <w:szCs w:val="24"/>
          <w:lang w:eastAsia="lv-LV"/>
        </w:rPr>
        <w:t xml:space="preserve">,00 </w:t>
      </w:r>
      <w:r w:rsidRPr="0065269F">
        <w:rPr>
          <w:rFonts w:ascii="Times New Roman" w:hAnsi="Times New Roman" w:cs="Times New Roman"/>
          <w:iCs/>
          <w:sz w:val="24"/>
          <w:szCs w:val="24"/>
          <w:lang w:bidi="he-IL"/>
        </w:rPr>
        <w:t>EUR</w:t>
      </w:r>
      <w:r w:rsidRPr="0065269F">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65269F">
        <w:rPr>
          <w:rFonts w:ascii="Times New Roman" w:hAnsi="Times New Roman" w:cs="Times New Roman"/>
          <w:b/>
          <w:bCs/>
          <w:sz w:val="24"/>
          <w:szCs w:val="24"/>
          <w:lang w:bidi="he-IL"/>
        </w:rPr>
        <w:t xml:space="preserve">Nodrošinājums uzskatāms par iesniegtu, ja tas saņemts norādītajā kontā līdz </w:t>
      </w:r>
      <w:r w:rsidR="00A61BB3" w:rsidRPr="0065269F">
        <w:rPr>
          <w:rFonts w:ascii="Times New Roman" w:hAnsi="Times New Roman" w:cs="Times New Roman"/>
          <w:b/>
          <w:bCs/>
          <w:sz w:val="24"/>
          <w:szCs w:val="24"/>
          <w:lang w:bidi="he-IL"/>
        </w:rPr>
        <w:t>2026</w:t>
      </w:r>
      <w:r w:rsidR="00CE53F9" w:rsidRPr="0065269F">
        <w:rPr>
          <w:rFonts w:ascii="Times New Roman" w:hAnsi="Times New Roman" w:cs="Times New Roman"/>
          <w:b/>
          <w:bCs/>
          <w:sz w:val="24"/>
          <w:szCs w:val="24"/>
          <w:lang w:bidi="he-IL"/>
        </w:rPr>
        <w:t xml:space="preserve">. gada </w:t>
      </w:r>
      <w:r w:rsidR="00A61BB3" w:rsidRPr="0065269F">
        <w:rPr>
          <w:rFonts w:ascii="Times New Roman" w:hAnsi="Times New Roman" w:cs="Times New Roman"/>
          <w:b/>
          <w:bCs/>
          <w:sz w:val="24"/>
          <w:szCs w:val="24"/>
          <w:lang w:bidi="he-IL"/>
        </w:rPr>
        <w:t>11.maija</w:t>
      </w:r>
      <w:r w:rsidR="00CE53F9" w:rsidRPr="0065269F">
        <w:rPr>
          <w:rFonts w:ascii="Times New Roman" w:hAnsi="Times New Roman" w:cs="Times New Roman"/>
          <w:b/>
          <w:bCs/>
          <w:sz w:val="24"/>
          <w:szCs w:val="24"/>
          <w:lang w:bidi="he-IL"/>
        </w:rPr>
        <w:t xml:space="preserve"> plkst. 23</w:t>
      </w:r>
      <w:r w:rsidR="002C4D65" w:rsidRPr="0065269F">
        <w:rPr>
          <w:rFonts w:ascii="Times New Roman" w:hAnsi="Times New Roman" w:cs="Times New Roman"/>
          <w:b/>
          <w:bCs/>
          <w:sz w:val="24"/>
          <w:szCs w:val="24"/>
          <w:lang w:bidi="he-IL"/>
        </w:rPr>
        <w:t>.</w:t>
      </w:r>
      <w:r w:rsidR="00CE53F9" w:rsidRPr="0065269F">
        <w:rPr>
          <w:rFonts w:ascii="Times New Roman" w:hAnsi="Times New Roman" w:cs="Times New Roman"/>
          <w:b/>
          <w:bCs/>
          <w:sz w:val="24"/>
          <w:szCs w:val="24"/>
          <w:lang w:bidi="he-IL"/>
        </w:rPr>
        <w:t>59.</w:t>
      </w:r>
      <w:r w:rsidR="00913F22" w:rsidRPr="0065269F">
        <w:rPr>
          <w:rFonts w:ascii="Times New Roman" w:hAnsi="Times New Roman" w:cs="Times New Roman"/>
          <w:b/>
          <w:bCs/>
          <w:sz w:val="24"/>
          <w:szCs w:val="24"/>
          <w:lang w:bidi="he-IL"/>
        </w:rPr>
        <w:t xml:space="preserve"> </w:t>
      </w:r>
      <w:r w:rsidR="00913F22" w:rsidRPr="0065269F">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65269F">
        <w:rPr>
          <w:rFonts w:ascii="Times New Roman" w:hAnsi="Times New Roman" w:cs="Times New Roman"/>
          <w:b/>
          <w:bCs/>
          <w:sz w:val="24"/>
          <w:szCs w:val="24"/>
          <w:lang w:bidi="he-IL"/>
        </w:rPr>
        <w:t xml:space="preserve"> </w:t>
      </w:r>
      <w:r w:rsidR="00860935" w:rsidRPr="0065269F">
        <w:rPr>
          <w:rFonts w:ascii="Times New Roman" w:hAnsi="Times New Roman" w:cs="Times New Roman"/>
          <w:sz w:val="24"/>
          <w:szCs w:val="24"/>
          <w:lang w:bidi="he-IL"/>
        </w:rPr>
        <w:t xml:space="preserve">Papildus jāveic dalības maksas 20,00 EUR </w:t>
      </w:r>
      <w:r w:rsidR="00860935" w:rsidRPr="00B800F2">
        <w:rPr>
          <w:rFonts w:ascii="Times New Roman" w:hAnsi="Times New Roman" w:cs="Times New Roman"/>
          <w:sz w:val="24"/>
          <w:szCs w:val="24"/>
          <w:lang w:bidi="he-IL"/>
        </w:rPr>
        <w:t>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2943C556"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65269F" w:rsidRPr="0065269F">
        <w:rPr>
          <w:rFonts w:ascii="Times New Roman" w:eastAsia="Times New Roman" w:hAnsi="Times New Roman" w:cs="Times New Roman"/>
          <w:sz w:val="24"/>
          <w:szCs w:val="24"/>
          <w:lang w:eastAsia="lv-LV"/>
        </w:rPr>
        <w:t>210</w:t>
      </w:r>
      <w:r w:rsidR="00F06547" w:rsidRPr="00F06547">
        <w:rPr>
          <w:rFonts w:ascii="Times New Roman" w:eastAsia="Times New Roman" w:hAnsi="Times New Roman" w:cs="Times New Roman"/>
          <w:sz w:val="24"/>
          <w:szCs w:val="24"/>
          <w:lang w:eastAsia="lv-LV"/>
        </w:rPr>
        <w:t xml:space="preserve">,00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w:t>
      </w:r>
      <w:r w:rsidRPr="003633CB">
        <w:rPr>
          <w:rFonts w:ascii="Times New Roman" w:hAnsi="Times New Roman" w:cs="Times New Roman"/>
          <w:sz w:val="24"/>
          <w:szCs w:val="24"/>
        </w:rPr>
        <w:lastRenderedPageBreak/>
        <w:t xml:space="preserve">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 xml:space="preserve">Izsoles dalībniekam, kurš nav atzīts par Izsoles uzvarētāju un nav pēdējais pārsolītais izsoles dalībnieks, nodrošinājumu atmaksā 10 dienu laikā pēc izsoles noslēguma dienas. </w:t>
      </w:r>
      <w:r>
        <w:rPr>
          <w:rFonts w:ascii="Times New Roman" w:hAnsi="Times New Roman" w:cs="Times New Roman"/>
          <w:sz w:val="24"/>
          <w:szCs w:val="24"/>
        </w:rPr>
        <w:lastRenderedPageBreak/>
        <w:t>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F6502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483BF14D"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DA48" w14:textId="77777777" w:rsidR="00EB1B40" w:rsidRDefault="00EB1B40" w:rsidP="006533B9">
      <w:pPr>
        <w:spacing w:after="0" w:line="240" w:lineRule="auto"/>
      </w:pPr>
      <w:r>
        <w:separator/>
      </w:r>
    </w:p>
  </w:endnote>
  <w:endnote w:type="continuationSeparator" w:id="0">
    <w:p w14:paraId="284F1353" w14:textId="77777777" w:rsidR="00EB1B40" w:rsidRDefault="00EB1B4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1BDB" w14:textId="77777777" w:rsidR="00EB1B40" w:rsidRDefault="00EB1B40" w:rsidP="006533B9">
      <w:pPr>
        <w:spacing w:after="0" w:line="240" w:lineRule="auto"/>
      </w:pPr>
      <w:r>
        <w:separator/>
      </w:r>
    </w:p>
  </w:footnote>
  <w:footnote w:type="continuationSeparator" w:id="0">
    <w:p w14:paraId="5FAD0D42" w14:textId="77777777" w:rsidR="00EB1B40" w:rsidRDefault="00EB1B4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269F"/>
    <w:rsid w:val="006533B9"/>
    <w:rsid w:val="006616BA"/>
    <w:rsid w:val="0067289E"/>
    <w:rsid w:val="0068549D"/>
    <w:rsid w:val="00685D42"/>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1B40"/>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6</Pages>
  <Words>11520</Words>
  <Characters>6567</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2026-03-10T19:02:00Z</dcterms:modified>
</cp:coreProperties>
</file>