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255FB2A6"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D4052A">
        <w:rPr>
          <w:rFonts w:ascii="Times New Roman" w:eastAsia="Times New Roman" w:hAnsi="Times New Roman" w:cs="Times New Roman"/>
          <w:i/>
          <w:iCs/>
        </w:rPr>
        <w:t>5</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0C0784">
        <w:rPr>
          <w:rFonts w:ascii="Times New Roman" w:eastAsia="Times New Roman" w:hAnsi="Times New Roman" w:cs="Times New Roman"/>
          <w:i/>
          <w:iCs/>
        </w:rPr>
        <w:t xml:space="preserve"> </w:t>
      </w:r>
      <w:r w:rsidR="00ED0D50">
        <w:rPr>
          <w:rFonts w:ascii="Times New Roman" w:eastAsia="Times New Roman" w:hAnsi="Times New Roman" w:cs="Times New Roman"/>
          <w:i/>
          <w:iCs/>
        </w:rPr>
        <w:t xml:space="preserve">26.novembra </w:t>
      </w:r>
      <w:r w:rsidRPr="0032775B">
        <w:rPr>
          <w:rFonts w:ascii="Times New Roman" w:eastAsia="Times New Roman" w:hAnsi="Times New Roman" w:cs="Times New Roman"/>
          <w:i/>
          <w:iCs/>
        </w:rPr>
        <w:t>Jelgavas novada pašvaldības izsoļu komisijas lēmumu</w:t>
      </w:r>
    </w:p>
    <w:p w14:paraId="46412926" w14:textId="23ED2C18"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0C0784" w:rsidRPr="00462F74">
        <w:rPr>
          <w:rFonts w:ascii="Times New Roman" w:hAnsi="Times New Roman" w:cs="Times New Roman"/>
          <w:i/>
          <w:iCs/>
          <w:color w:val="212529"/>
          <w:sz w:val="21"/>
          <w:szCs w:val="21"/>
          <w:shd w:val="clear" w:color="auto" w:fill="FFFFFF"/>
        </w:rPr>
        <w:t>JNP/2-38.1/2</w:t>
      </w:r>
      <w:r w:rsidR="007C3DFF" w:rsidRPr="00462F74">
        <w:rPr>
          <w:rFonts w:ascii="Times New Roman" w:hAnsi="Times New Roman" w:cs="Times New Roman"/>
          <w:i/>
          <w:iCs/>
          <w:color w:val="212529"/>
          <w:sz w:val="21"/>
          <w:szCs w:val="21"/>
          <w:shd w:val="clear" w:color="auto" w:fill="FFFFFF"/>
        </w:rPr>
        <w:t>5/</w:t>
      </w:r>
      <w:r w:rsidR="00ED0D50">
        <w:rPr>
          <w:rFonts w:ascii="Times New Roman" w:hAnsi="Times New Roman" w:cs="Times New Roman"/>
          <w:i/>
          <w:iCs/>
          <w:color w:val="212529"/>
          <w:sz w:val="21"/>
          <w:szCs w:val="21"/>
          <w:shd w:val="clear" w:color="auto" w:fill="FFFFFF"/>
        </w:rPr>
        <w:t>61</w:t>
      </w:r>
      <w:r w:rsidRPr="00462F74">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1178A962"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7C3DFF">
        <w:rPr>
          <w:rFonts w:ascii="Times New Roman" w:hAnsi="Times New Roman" w:cs="Times New Roman"/>
          <w:b/>
          <w:sz w:val="24"/>
          <w:szCs w:val="24"/>
        </w:rPr>
        <w:t>CERIŅU</w:t>
      </w:r>
      <w:r w:rsidR="00960558">
        <w:rPr>
          <w:rFonts w:ascii="Times New Roman" w:hAnsi="Times New Roman" w:cs="Times New Roman"/>
          <w:b/>
          <w:sz w:val="24"/>
          <w:szCs w:val="24"/>
        </w:rPr>
        <w:t xml:space="preserve"> IELA </w:t>
      </w:r>
      <w:r w:rsidR="007C3DFF">
        <w:rPr>
          <w:rFonts w:ascii="Times New Roman" w:hAnsi="Times New Roman" w:cs="Times New Roman"/>
          <w:b/>
          <w:sz w:val="24"/>
          <w:szCs w:val="24"/>
        </w:rPr>
        <w:t>9</w:t>
      </w:r>
      <w:r w:rsidR="00960558">
        <w:rPr>
          <w:rFonts w:ascii="Times New Roman" w:hAnsi="Times New Roman" w:cs="Times New Roman"/>
          <w:b/>
          <w:sz w:val="24"/>
          <w:szCs w:val="24"/>
        </w:rPr>
        <w:t>, SVĒTE,</w:t>
      </w:r>
      <w:r w:rsidR="00372505" w:rsidRPr="006D407D">
        <w:rPr>
          <w:rFonts w:ascii="Times New Roman" w:hAnsi="Times New Roman" w:cs="Times New Roman"/>
          <w:b/>
          <w:sz w:val="24"/>
          <w:szCs w:val="24"/>
        </w:rPr>
        <w:t xml:space="preserve"> </w:t>
      </w:r>
      <w:r w:rsidR="00D4052A">
        <w:rPr>
          <w:rFonts w:ascii="Times New Roman" w:hAnsi="Times New Roman" w:cs="Times New Roman"/>
          <w:b/>
          <w:sz w:val="24"/>
          <w:szCs w:val="24"/>
        </w:rPr>
        <w:t>SVĒTES</w:t>
      </w:r>
      <w:r w:rsidRPr="006D407D">
        <w:rPr>
          <w:rFonts w:ascii="Times New Roman" w:eastAsia="Times New Roman" w:hAnsi="Times New Roman" w:cs="Times New Roman"/>
          <w:b/>
          <w:sz w:val="24"/>
          <w:szCs w:val="24"/>
        </w:rPr>
        <w:t xml:space="preserve"> 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62B88BF6" w:rsidR="00B33F01" w:rsidRPr="006D407D" w:rsidRDefault="008C43EE"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A2B7FB6"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r w:rsidRPr="006D407D">
        <w:rPr>
          <w:rFonts w:ascii="Times New Roman" w:eastAsia="Times New Roman" w:hAnsi="Times New Roman" w:cs="Times New Roman"/>
          <w:sz w:val="24"/>
          <w:szCs w:val="24"/>
        </w:rPr>
        <w:t>.</w:t>
      </w:r>
    </w:p>
    <w:p w14:paraId="3265FF19" w14:textId="39B17F39"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 xml:space="preserve">atsavināšana </w:t>
      </w:r>
      <w:r w:rsidR="008C43EE">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4080908E" w14:textId="18A95C17"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bookmarkStart w:id="0" w:name="_Hlk199619841"/>
      <w:r w:rsidR="007C3DFF">
        <w:rPr>
          <w:rFonts w:ascii="Times New Roman" w:hAnsi="Times New Roman" w:cs="Times New Roman"/>
          <w:b/>
          <w:bCs/>
          <w:sz w:val="24"/>
          <w:szCs w:val="24"/>
        </w:rPr>
        <w:t>Ceriņu</w:t>
      </w:r>
      <w:r w:rsidR="00926B6C" w:rsidRPr="00926B6C">
        <w:rPr>
          <w:rFonts w:ascii="Times New Roman" w:hAnsi="Times New Roman" w:cs="Times New Roman"/>
          <w:b/>
          <w:bCs/>
          <w:sz w:val="24"/>
          <w:szCs w:val="24"/>
        </w:rPr>
        <w:t xml:space="preserve"> iela </w:t>
      </w:r>
      <w:r w:rsidR="007C3DFF">
        <w:rPr>
          <w:rFonts w:ascii="Times New Roman" w:hAnsi="Times New Roman" w:cs="Times New Roman"/>
          <w:b/>
          <w:bCs/>
          <w:sz w:val="24"/>
          <w:szCs w:val="24"/>
        </w:rPr>
        <w:t>9</w:t>
      </w:r>
      <w:r w:rsidR="00926B6C" w:rsidRPr="00926B6C">
        <w:rPr>
          <w:rFonts w:ascii="Times New Roman" w:hAnsi="Times New Roman" w:cs="Times New Roman"/>
          <w:b/>
          <w:bCs/>
          <w:sz w:val="24"/>
          <w:szCs w:val="24"/>
        </w:rPr>
        <w:t xml:space="preserve">, Svēte, </w:t>
      </w:r>
      <w:bookmarkEnd w:id="0"/>
      <w:r w:rsidR="00926B6C" w:rsidRPr="00926B6C">
        <w:rPr>
          <w:rFonts w:ascii="Times New Roman" w:hAnsi="Times New Roman" w:cs="Times New Roman"/>
          <w:b/>
          <w:bCs/>
          <w:sz w:val="24"/>
          <w:szCs w:val="24"/>
        </w:rPr>
        <w:t xml:space="preserve">Svētes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1" w:name="_Hlk112157533"/>
      <w:r w:rsidR="00AE0AB8" w:rsidRPr="00CD5F8D">
        <w:rPr>
          <w:rFonts w:ascii="Times New Roman" w:hAnsi="Times New Roman" w:cs="Times New Roman"/>
          <w:b/>
          <w:bCs/>
          <w:sz w:val="24"/>
          <w:szCs w:val="24"/>
        </w:rPr>
        <w:t>kadastra Nr.54</w:t>
      </w:r>
      <w:r w:rsidR="00D4052A">
        <w:rPr>
          <w:rFonts w:ascii="Times New Roman" w:hAnsi="Times New Roman" w:cs="Times New Roman"/>
          <w:b/>
          <w:bCs/>
          <w:sz w:val="24"/>
          <w:szCs w:val="24"/>
        </w:rPr>
        <w:t>8200</w:t>
      </w:r>
      <w:r w:rsidR="00926B6C">
        <w:rPr>
          <w:rFonts w:ascii="Times New Roman" w:hAnsi="Times New Roman" w:cs="Times New Roman"/>
          <w:b/>
          <w:bCs/>
          <w:sz w:val="24"/>
          <w:szCs w:val="24"/>
        </w:rPr>
        <w:t>20</w:t>
      </w:r>
      <w:r w:rsidR="007C3DFF">
        <w:rPr>
          <w:rFonts w:ascii="Times New Roman" w:hAnsi="Times New Roman" w:cs="Times New Roman"/>
          <w:b/>
          <w:bCs/>
          <w:sz w:val="24"/>
          <w:szCs w:val="24"/>
        </w:rPr>
        <w:t>741</w:t>
      </w:r>
      <w:r w:rsidR="00AE0AB8" w:rsidRPr="00CD5F8D">
        <w:rPr>
          <w:rFonts w:ascii="Times New Roman" w:hAnsi="Times New Roman" w:cs="Times New Roman"/>
          <w:b/>
          <w:bCs/>
          <w:sz w:val="24"/>
          <w:szCs w:val="24"/>
        </w:rPr>
        <w:t>,</w:t>
      </w:r>
      <w:bookmarkEnd w:id="1"/>
      <w:r w:rsidR="00AE0AB8" w:rsidRPr="00CD5F8D">
        <w:rPr>
          <w:rFonts w:ascii="Times New Roman" w:hAnsi="Times New Roman" w:cs="Times New Roman"/>
          <w:b/>
          <w:bCs/>
          <w:sz w:val="24"/>
          <w:szCs w:val="24"/>
        </w:rPr>
        <w:t xml:space="preserve"> </w:t>
      </w:r>
      <w:bookmarkStart w:id="2" w:name="_Hlk114577729"/>
      <w:r w:rsidR="00AE0AB8" w:rsidRPr="00CD5F8D">
        <w:rPr>
          <w:rFonts w:ascii="Times New Roman" w:hAnsi="Times New Roman" w:cs="Times New Roman"/>
          <w:b/>
          <w:bCs/>
          <w:sz w:val="24"/>
          <w:szCs w:val="24"/>
        </w:rPr>
        <w:t xml:space="preserve">kas sastāv zemes vienības </w:t>
      </w:r>
      <w:r w:rsidR="007C3DFF">
        <w:rPr>
          <w:rFonts w:ascii="Times New Roman" w:hAnsi="Times New Roman" w:cs="Times New Roman"/>
          <w:b/>
          <w:bCs/>
          <w:sz w:val="24"/>
          <w:szCs w:val="24"/>
        </w:rPr>
        <w:t>1,1709</w:t>
      </w:r>
      <w:r w:rsidR="00AE0AB8" w:rsidRPr="00CD5F8D">
        <w:rPr>
          <w:rFonts w:ascii="Times New Roman" w:hAnsi="Times New Roman" w:cs="Times New Roman"/>
          <w:b/>
          <w:bCs/>
          <w:sz w:val="24"/>
          <w:szCs w:val="24"/>
        </w:rPr>
        <w:t xml:space="preserve"> ha platībā ar kadastra apzīmējumu </w:t>
      </w:r>
      <w:bookmarkEnd w:id="2"/>
      <w:r w:rsidR="00AE0AB8" w:rsidRPr="00CD5F8D">
        <w:rPr>
          <w:rFonts w:ascii="Times New Roman" w:hAnsi="Times New Roman" w:cs="Times New Roman"/>
          <w:b/>
          <w:bCs/>
          <w:sz w:val="24"/>
          <w:szCs w:val="24"/>
        </w:rPr>
        <w:t>54</w:t>
      </w:r>
      <w:r w:rsidR="00D4052A">
        <w:rPr>
          <w:rFonts w:ascii="Times New Roman" w:hAnsi="Times New Roman" w:cs="Times New Roman"/>
          <w:b/>
          <w:bCs/>
          <w:sz w:val="24"/>
          <w:szCs w:val="24"/>
        </w:rPr>
        <w:t>8200</w:t>
      </w:r>
      <w:r w:rsidR="00926B6C">
        <w:rPr>
          <w:rFonts w:ascii="Times New Roman" w:hAnsi="Times New Roman" w:cs="Times New Roman"/>
          <w:b/>
          <w:bCs/>
          <w:sz w:val="24"/>
          <w:szCs w:val="24"/>
        </w:rPr>
        <w:t>20</w:t>
      </w:r>
      <w:r w:rsidR="007C3DFF">
        <w:rPr>
          <w:rFonts w:ascii="Times New Roman" w:hAnsi="Times New Roman" w:cs="Times New Roman"/>
          <w:b/>
          <w:bCs/>
          <w:sz w:val="24"/>
          <w:szCs w:val="24"/>
        </w:rPr>
        <w:t>739</w:t>
      </w:r>
      <w:r w:rsidR="00D4052A">
        <w:rPr>
          <w:rFonts w:ascii="Times New Roman" w:hAnsi="Times New Roman" w:cs="Times New Roman"/>
          <w:b/>
          <w:bCs/>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012A3189"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 Izso</w:t>
      </w:r>
      <w:r w:rsidR="005435A3">
        <w:rPr>
          <w:rFonts w:ascii="Times New Roman" w:eastAsia="Times New Roman" w:hAnsi="Times New Roman" w:cs="Times New Roman"/>
          <w:sz w:val="24"/>
          <w:szCs w:val="24"/>
        </w:rPr>
        <w:t>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0880421E"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8C43EE">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 xml:space="preserve">elektroniskā izsolē ar augšupejošu soli. </w:t>
      </w:r>
    </w:p>
    <w:p w14:paraId="6C15CD1A" w14:textId="70CD05C7"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4052A">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7C3DFF" w:rsidRPr="007C3DFF">
        <w:rPr>
          <w:rFonts w:ascii="Times New Roman" w:eastAsia="Times New Roman" w:hAnsi="Times New Roman" w:cs="Times New Roman"/>
          <w:sz w:val="24"/>
          <w:szCs w:val="24"/>
        </w:rPr>
        <w:t>16</w:t>
      </w:r>
      <w:r w:rsidR="007C3DFF">
        <w:rPr>
          <w:rFonts w:ascii="Times New Roman" w:eastAsia="Times New Roman" w:hAnsi="Times New Roman" w:cs="Times New Roman"/>
          <w:sz w:val="24"/>
          <w:szCs w:val="24"/>
        </w:rPr>
        <w:t xml:space="preserve"> </w:t>
      </w:r>
      <w:r w:rsidR="007C3DFF" w:rsidRPr="007C3DFF">
        <w:rPr>
          <w:rFonts w:ascii="Times New Roman" w:eastAsia="Times New Roman" w:hAnsi="Times New Roman" w:cs="Times New Roman"/>
          <w:sz w:val="24"/>
          <w:szCs w:val="24"/>
        </w:rPr>
        <w:t xml:space="preserve">400 EUR (sešpadsmit tūkstoši četri simti </w:t>
      </w:r>
      <w:proofErr w:type="spellStart"/>
      <w:r w:rsidR="007C3DFF" w:rsidRPr="007C3DFF">
        <w:rPr>
          <w:rFonts w:ascii="Times New Roman" w:eastAsia="Times New Roman" w:hAnsi="Times New Roman" w:cs="Times New Roman"/>
          <w:i/>
          <w:iCs/>
          <w:sz w:val="24"/>
          <w:szCs w:val="24"/>
        </w:rPr>
        <w:t>euro</w:t>
      </w:r>
      <w:proofErr w:type="spellEnd"/>
      <w:r w:rsidR="007C3DFF" w:rsidRPr="007C3DFF">
        <w:rPr>
          <w:rFonts w:ascii="Times New Roman" w:eastAsia="Times New Roman" w:hAnsi="Times New Roman" w:cs="Times New Roman"/>
          <w:sz w:val="24"/>
          <w:szCs w:val="24"/>
        </w:rPr>
        <w:t>)</w:t>
      </w:r>
      <w:r w:rsidR="00725110">
        <w:rPr>
          <w:rFonts w:ascii="Times New Roman" w:eastAsia="Times New Roman" w:hAnsi="Times New Roman" w:cs="Times New Roman"/>
          <w:sz w:val="24"/>
          <w:szCs w:val="24"/>
        </w:rPr>
        <w:t>,</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r w:rsidR="00D4052A">
        <w:rPr>
          <w:rFonts w:ascii="Times New Roman" w:eastAsia="Times New Roman" w:hAnsi="Times New Roman" w:cs="Times New Roman"/>
          <w:sz w:val="24"/>
          <w:szCs w:val="24"/>
        </w:rPr>
        <w:t xml:space="preserve"> </w:t>
      </w:r>
      <w:r w:rsidR="00725110">
        <w:rPr>
          <w:rFonts w:ascii="Times New Roman" w:eastAsia="Times New Roman" w:hAnsi="Times New Roman" w:cs="Times New Roman"/>
          <w:b/>
          <w:bCs/>
          <w:sz w:val="24"/>
          <w:szCs w:val="24"/>
        </w:rPr>
        <w:t>1</w:t>
      </w:r>
      <w:r w:rsidR="007C3DFF">
        <w:rPr>
          <w:rFonts w:ascii="Times New Roman" w:eastAsia="Times New Roman" w:hAnsi="Times New Roman" w:cs="Times New Roman"/>
          <w:b/>
          <w:bCs/>
          <w:sz w:val="24"/>
          <w:szCs w:val="24"/>
        </w:rPr>
        <w:t>64</w:t>
      </w:r>
      <w:r w:rsidR="00725110">
        <w:rPr>
          <w:rFonts w:ascii="Times New Roman" w:eastAsia="Times New Roman" w:hAnsi="Times New Roman" w:cs="Times New Roman"/>
          <w:b/>
          <w:bCs/>
          <w:sz w:val="24"/>
          <w:szCs w:val="24"/>
        </w:rPr>
        <w:t>0</w:t>
      </w:r>
      <w:r w:rsidR="00D307B3" w:rsidRPr="00D307B3">
        <w:rPr>
          <w:rFonts w:ascii="Times New Roman" w:eastAsia="Times New Roman" w:hAnsi="Times New Roman" w:cs="Times New Roman"/>
          <w:b/>
          <w:bCs/>
          <w:sz w:val="24"/>
          <w:szCs w:val="24"/>
        </w:rPr>
        <w:t xml:space="preserve"> EUR (</w:t>
      </w:r>
      <w:r w:rsidR="00FC4DEE" w:rsidRPr="00D4052A">
        <w:rPr>
          <w:rFonts w:ascii="Times New Roman" w:eastAsia="Times New Roman" w:hAnsi="Times New Roman" w:cs="Times New Roman"/>
          <w:b/>
          <w:bCs/>
          <w:i/>
          <w:iCs/>
          <w:sz w:val="24"/>
          <w:szCs w:val="24"/>
        </w:rPr>
        <w:t xml:space="preserve">viens tūkstotis </w:t>
      </w:r>
      <w:r w:rsidR="007C3DFF">
        <w:rPr>
          <w:rFonts w:ascii="Times New Roman" w:eastAsia="Times New Roman" w:hAnsi="Times New Roman" w:cs="Times New Roman"/>
          <w:b/>
          <w:bCs/>
          <w:i/>
          <w:iCs/>
          <w:sz w:val="24"/>
          <w:szCs w:val="24"/>
        </w:rPr>
        <w:t>seši</w:t>
      </w:r>
      <w:r w:rsidR="00725110">
        <w:rPr>
          <w:rFonts w:ascii="Times New Roman" w:eastAsia="Times New Roman" w:hAnsi="Times New Roman" w:cs="Times New Roman"/>
          <w:b/>
          <w:bCs/>
          <w:i/>
          <w:iCs/>
          <w:sz w:val="24"/>
          <w:szCs w:val="24"/>
        </w:rPr>
        <w:t xml:space="preserve"> simti </w:t>
      </w:r>
      <w:r w:rsidR="007C3DFF">
        <w:rPr>
          <w:rFonts w:ascii="Times New Roman" w:eastAsia="Times New Roman" w:hAnsi="Times New Roman" w:cs="Times New Roman"/>
          <w:b/>
          <w:bCs/>
          <w:i/>
          <w:iCs/>
          <w:sz w:val="24"/>
          <w:szCs w:val="24"/>
        </w:rPr>
        <w:t>četrdesmit</w:t>
      </w:r>
      <w:r w:rsidR="00D307B3" w:rsidRPr="00D307B3">
        <w:rPr>
          <w:rFonts w:ascii="Times New Roman" w:eastAsia="Times New Roman" w:hAnsi="Times New Roman" w:cs="Times New Roman"/>
          <w:b/>
          <w:bCs/>
          <w:i/>
          <w:iCs/>
          <w:sz w:val="24"/>
          <w:szCs w:val="24"/>
        </w:rPr>
        <w:t xml:space="preserve"> </w:t>
      </w:r>
      <w:proofErr w:type="spellStart"/>
      <w:r w:rsidR="00D307B3" w:rsidRPr="00D307B3">
        <w:rPr>
          <w:rFonts w:ascii="Times New Roman" w:eastAsia="Times New Roman" w:hAnsi="Times New Roman" w:cs="Times New Roman"/>
          <w:b/>
          <w:bCs/>
          <w:i/>
          <w:iCs/>
          <w:sz w:val="24"/>
          <w:szCs w:val="24"/>
        </w:rPr>
        <w:t>euro</w:t>
      </w:r>
      <w:proofErr w:type="spellEnd"/>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7C3DFF">
        <w:rPr>
          <w:rFonts w:ascii="Times New Roman" w:eastAsia="Times New Roman" w:hAnsi="Times New Roman" w:cs="Times New Roman"/>
          <w:sz w:val="24"/>
          <w:szCs w:val="24"/>
        </w:rPr>
        <w:t>Ceriņu</w:t>
      </w:r>
      <w:r w:rsidR="00926B6C" w:rsidRPr="00926B6C">
        <w:rPr>
          <w:rFonts w:ascii="Times New Roman" w:eastAsia="Times New Roman" w:hAnsi="Times New Roman" w:cs="Times New Roman"/>
          <w:sz w:val="24"/>
          <w:szCs w:val="24"/>
        </w:rPr>
        <w:t xml:space="preserve"> iela </w:t>
      </w:r>
      <w:r w:rsidR="007C3DFF">
        <w:rPr>
          <w:rFonts w:ascii="Times New Roman" w:eastAsia="Times New Roman" w:hAnsi="Times New Roman" w:cs="Times New Roman"/>
          <w:sz w:val="24"/>
          <w:szCs w:val="24"/>
        </w:rPr>
        <w:t>9</w:t>
      </w:r>
      <w:r w:rsidR="00926B6C" w:rsidRPr="00926B6C">
        <w:rPr>
          <w:rFonts w:ascii="Times New Roman" w:eastAsia="Times New Roman" w:hAnsi="Times New Roman" w:cs="Times New Roman"/>
          <w:sz w:val="24"/>
          <w:szCs w:val="24"/>
        </w:rPr>
        <w:t>,</w:t>
      </w:r>
      <w:r w:rsidR="00926B6C">
        <w:rPr>
          <w:rFonts w:ascii="Times New Roman" w:eastAsia="Times New Roman" w:hAnsi="Times New Roman" w:cs="Times New Roman"/>
          <w:sz w:val="24"/>
          <w:szCs w:val="24"/>
        </w:rPr>
        <w:t xml:space="preserve"> </w:t>
      </w:r>
      <w:r w:rsidR="00926B6C" w:rsidRPr="00926B6C">
        <w:rPr>
          <w:rFonts w:ascii="Times New Roman" w:eastAsia="Times New Roman" w:hAnsi="Times New Roman" w:cs="Times New Roman"/>
          <w:sz w:val="24"/>
          <w:szCs w:val="24"/>
        </w:rPr>
        <w:t xml:space="preserve">Svētes </w:t>
      </w:r>
      <w:r w:rsidRPr="006D407D">
        <w:rPr>
          <w:rFonts w:ascii="Times New Roman" w:eastAsia="Times New Roman" w:hAnsi="Times New Roman" w:cs="Times New Roman"/>
          <w:sz w:val="24"/>
          <w:szCs w:val="24"/>
        </w:rPr>
        <w:t xml:space="preserve">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0ACFDFD2"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04639DBB"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7C3DFF" w:rsidRPr="007C3DFF">
        <w:rPr>
          <w:rFonts w:ascii="Times New Roman" w:eastAsia="Times New Roman" w:hAnsi="Times New Roman" w:cs="Times New Roman"/>
          <w:b/>
          <w:bCs/>
          <w:sz w:val="24"/>
          <w:szCs w:val="24"/>
        </w:rPr>
        <w:t>16</w:t>
      </w:r>
      <w:r w:rsidR="007C3DFF">
        <w:rPr>
          <w:rFonts w:ascii="Times New Roman" w:eastAsia="Times New Roman" w:hAnsi="Times New Roman" w:cs="Times New Roman"/>
          <w:b/>
          <w:bCs/>
          <w:sz w:val="24"/>
          <w:szCs w:val="24"/>
        </w:rPr>
        <w:t xml:space="preserve"> </w:t>
      </w:r>
      <w:r w:rsidR="007C3DFF" w:rsidRPr="007C3DFF">
        <w:rPr>
          <w:rFonts w:ascii="Times New Roman" w:eastAsia="Times New Roman" w:hAnsi="Times New Roman" w:cs="Times New Roman"/>
          <w:b/>
          <w:bCs/>
          <w:sz w:val="24"/>
          <w:szCs w:val="24"/>
        </w:rPr>
        <w:t xml:space="preserve">400 EUR (sešpadsmit tūkstoši četri simti </w:t>
      </w:r>
      <w:proofErr w:type="spellStart"/>
      <w:r w:rsidR="007C3DFF" w:rsidRPr="007C3DFF">
        <w:rPr>
          <w:rFonts w:ascii="Times New Roman" w:eastAsia="Times New Roman" w:hAnsi="Times New Roman" w:cs="Times New Roman"/>
          <w:b/>
          <w:bCs/>
          <w:i/>
          <w:iCs/>
          <w:sz w:val="24"/>
          <w:szCs w:val="24"/>
        </w:rPr>
        <w:t>euro</w:t>
      </w:r>
      <w:proofErr w:type="spellEnd"/>
      <w:r w:rsidR="007C3DFF" w:rsidRPr="007C3DFF">
        <w:rPr>
          <w:rFonts w:ascii="Times New Roman" w:eastAsia="Times New Roman" w:hAnsi="Times New Roman" w:cs="Times New Roman"/>
          <w:b/>
          <w:bCs/>
          <w:sz w:val="24"/>
          <w:szCs w:val="24"/>
        </w:rPr>
        <w:t>).</w:t>
      </w:r>
      <w:r w:rsidR="007C3DFF">
        <w:rPr>
          <w:rFonts w:ascii="Times New Roman" w:eastAsia="Times New Roman" w:hAnsi="Times New Roman" w:cs="Times New Roman"/>
          <w:b/>
          <w:bCs/>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0F4A2C30"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A45450">
        <w:rPr>
          <w:rFonts w:ascii="Times New Roman" w:eastAsia="Times New Roman" w:hAnsi="Times New Roman" w:cs="Times New Roman"/>
          <w:b/>
          <w:sz w:val="24"/>
          <w:szCs w:val="24"/>
          <w:shd w:val="clear" w:color="auto" w:fill="FFFFFF" w:themeFill="background1"/>
        </w:rPr>
        <w:t>50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A45450" w:rsidRPr="00D4052A">
        <w:rPr>
          <w:rFonts w:ascii="Times New Roman" w:eastAsia="Times New Roman" w:hAnsi="Times New Roman" w:cs="Times New Roman"/>
          <w:b/>
          <w:bCs/>
          <w:i/>
          <w:iCs/>
          <w:sz w:val="24"/>
          <w:szCs w:val="24"/>
          <w:shd w:val="clear" w:color="auto" w:fill="FFFFFF" w:themeFill="background1"/>
        </w:rPr>
        <w:t>pieci simti</w:t>
      </w:r>
      <w:r w:rsidRPr="00584AEA">
        <w:rPr>
          <w:rFonts w:ascii="Times New Roman" w:eastAsia="Times New Roman" w:hAnsi="Times New Roman" w:cs="Times New Roman"/>
          <w:b/>
          <w:bCs/>
          <w:sz w:val="24"/>
          <w:szCs w:val="24"/>
          <w:shd w:val="clear" w:color="auto" w:fill="FFFFFF" w:themeFill="background1"/>
        </w:rPr>
        <w:t xml:space="preserve"> </w:t>
      </w:r>
      <w:proofErr w:type="spellStart"/>
      <w:r w:rsidRPr="00584AEA">
        <w:rPr>
          <w:rFonts w:ascii="Times New Roman" w:eastAsia="Times New Roman" w:hAnsi="Times New Roman" w:cs="Times New Roman"/>
          <w:b/>
          <w:bCs/>
          <w:i/>
          <w:iCs/>
          <w:sz w:val="24"/>
          <w:szCs w:val="24"/>
          <w:shd w:val="clear" w:color="auto" w:fill="FFFFFF" w:themeFill="background1"/>
        </w:rPr>
        <w:t>euro</w:t>
      </w:r>
      <w:proofErr w:type="spellEnd"/>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337135">
      <w:pPr>
        <w:pStyle w:val="ListParagraph"/>
        <w:shd w:val="clear" w:color="auto" w:fill="FFFFFF" w:themeFill="background1"/>
        <w:tabs>
          <w:tab w:val="left" w:pos="720"/>
        </w:tabs>
        <w:suppressAutoHyphens/>
        <w:spacing w:after="0" w:line="240" w:lineRule="auto"/>
        <w:ind w:left="0"/>
        <w:rPr>
          <w:rFonts w:ascii="Times New Roman" w:eastAsia="Times New Roman" w:hAnsi="Times New Roman" w:cs="Times New Roman"/>
          <w:b/>
          <w:sz w:val="24"/>
          <w:szCs w:val="24"/>
        </w:rPr>
      </w:pPr>
    </w:p>
    <w:p w14:paraId="4A52482A" w14:textId="63CA22ED"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3091652C"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6E12C4D1" w14:textId="77777777" w:rsidR="003442E5" w:rsidRDefault="003442E5" w:rsidP="003442E5">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6115653C" w14:textId="77777777" w:rsidR="003442E5" w:rsidRDefault="003442E5" w:rsidP="003442E5">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0CD98A70"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10A0A3C9"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7DB8193A"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1AACC3A7"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70DAA1A0" w14:textId="77777777" w:rsidR="003442E5" w:rsidRPr="00C3482B"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 xml:space="preserve">juridiskajām personām, kurās Krievijas Federācijas vai Baltkrievijas Republikas </w:t>
      </w:r>
      <w:proofErr w:type="spellStart"/>
      <w:r w:rsidRPr="00C3482B">
        <w:rPr>
          <w:rFonts w:ascii="Times New Roman" w:hAnsi="Times New Roman" w:cs="Times New Roman"/>
          <w:sz w:val="24"/>
          <w:szCs w:val="24"/>
        </w:rPr>
        <w:t>valstspiederīgajiem</w:t>
      </w:r>
      <w:proofErr w:type="spellEnd"/>
      <w:r w:rsidRPr="00C3482B">
        <w:rPr>
          <w:rFonts w:ascii="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6AA663E" w14:textId="518C0C2C" w:rsidR="003442E5" w:rsidRPr="003442E5" w:rsidRDefault="003442E5" w:rsidP="003442E5">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35CAE613"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D4052A">
        <w:rPr>
          <w:rFonts w:ascii="Times New Roman" w:eastAsia="Times New Roman" w:hAnsi="Times New Roman" w:cs="Times New Roman"/>
          <w:b/>
          <w:bCs/>
          <w:sz w:val="24"/>
          <w:szCs w:val="24"/>
        </w:rPr>
        <w:t>5</w:t>
      </w:r>
      <w:r w:rsidR="00B00D58">
        <w:rPr>
          <w:rFonts w:ascii="Times New Roman" w:eastAsia="Times New Roman" w:hAnsi="Times New Roman" w:cs="Times New Roman"/>
          <w:b/>
          <w:bCs/>
          <w:sz w:val="24"/>
          <w:szCs w:val="24"/>
        </w:rPr>
        <w:t xml:space="preserve">.gada </w:t>
      </w:r>
      <w:r w:rsidR="00ED0D50">
        <w:rPr>
          <w:rFonts w:ascii="Times New Roman" w:eastAsia="Times New Roman" w:hAnsi="Times New Roman" w:cs="Times New Roman"/>
          <w:b/>
          <w:bCs/>
          <w:sz w:val="24"/>
          <w:szCs w:val="24"/>
        </w:rPr>
        <w:t>12.decembra</w:t>
      </w:r>
      <w:r w:rsidR="00B00D58">
        <w:rPr>
          <w:rFonts w:ascii="Times New Roman" w:eastAsia="Times New Roman" w:hAnsi="Times New Roman" w:cs="Times New Roman"/>
          <w:b/>
          <w:bCs/>
          <w:sz w:val="24"/>
          <w:szCs w:val="24"/>
        </w:rPr>
        <w:t xml:space="preserve"> pl.13.00 līdz 202</w:t>
      </w:r>
      <w:r w:rsidR="00ED0D50">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ED0D50">
        <w:rPr>
          <w:rFonts w:ascii="Times New Roman" w:eastAsia="Times New Roman" w:hAnsi="Times New Roman" w:cs="Times New Roman"/>
          <w:b/>
          <w:bCs/>
          <w:sz w:val="24"/>
          <w:szCs w:val="24"/>
        </w:rPr>
        <w:t>1.janvārim</w:t>
      </w:r>
      <w:r w:rsidR="00B00D58">
        <w:rPr>
          <w:rFonts w:ascii="Times New Roman" w:eastAsia="Times New Roman" w:hAnsi="Times New Roman" w:cs="Times New Roman"/>
          <w:b/>
          <w:bCs/>
          <w:sz w:val="24"/>
          <w:szCs w:val="24"/>
        </w:rPr>
        <w:t xml:space="preserve"> </w:t>
      </w:r>
      <w:r w:rsidR="00B00D58" w:rsidRPr="000C0784">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w:t>
      </w:r>
      <w:r w:rsidRPr="006D407D">
        <w:rPr>
          <w:rFonts w:ascii="Times New Roman" w:eastAsia="Times New Roman" w:hAnsi="Times New Roman" w:cs="Times New Roman"/>
          <w:sz w:val="24"/>
          <w:szCs w:val="24"/>
        </w:rPr>
        <w:lastRenderedPageBreak/>
        <w:t>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Informāciju par autorizēšanu dalībai izsolē izsoles rīkotājs reģistrētam lietotājam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5656E688" w14:textId="64969382" w:rsidR="00337135" w:rsidRPr="00010DFB" w:rsidRDefault="00337135" w:rsidP="00010DFB">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r w:rsidRPr="00010DFB">
        <w:rPr>
          <w:rFonts w:ascii="Times New Roman" w:eastAsia="Times New Roman" w:hAnsi="Times New Roman" w:cs="Times New Roman"/>
          <w:color w:val="000000" w:themeColor="text1"/>
          <w:sz w:val="24"/>
          <w:szCs w:val="24"/>
        </w:rPr>
        <w:t>fiziskā vai juridiskā persona saskaņā ar spēkā esošajiem normatīvajiem aktiem nevar iegūt savā īpašumā Objektu</w:t>
      </w:r>
      <w:r w:rsidRPr="00010DFB">
        <w:rPr>
          <w:rFonts w:ascii="Times New Roman" w:hAnsi="Times New Roman" w:cs="Times New Roman"/>
          <w:color w:val="000000" w:themeColor="text1"/>
          <w:sz w:val="24"/>
          <w:szCs w:val="24"/>
        </w:rPr>
        <w:t>.</w:t>
      </w:r>
    </w:p>
    <w:p w14:paraId="44C4F1AB" w14:textId="04BBD76B"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rīkotāji nav tiesīgi sniegt informāciju par izsoles pretendentiem.</w:t>
      </w:r>
    </w:p>
    <w:p w14:paraId="527813D9" w14:textId="07C887C0"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7876E7" w:rsidRPr="007876E7">
        <w:rPr>
          <w:rFonts w:ascii="Times New Roman" w:hAnsi="Times New Roman" w:cs="Times New Roman"/>
          <w:sz w:val="24"/>
          <w:szCs w:val="24"/>
        </w:rPr>
        <w:t>27839292</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7876E7" w:rsidRPr="00146573">
          <w:rPr>
            <w:rStyle w:val="Hyperlink"/>
            <w:rFonts w:ascii="Times New Roman" w:eastAsia="Times New Roman" w:hAnsi="Times New Roman" w:cs="Times New Roman"/>
            <w:sz w:val="24"/>
            <w:szCs w:val="24"/>
          </w:rPr>
          <w:t>elita.andrasone@jelgavasnovads.lv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5F2E6276"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D4052A">
        <w:rPr>
          <w:rFonts w:ascii="Times New Roman" w:eastAsia="Times New Roman" w:hAnsi="Times New Roman" w:cs="Times New Roman"/>
          <w:b/>
          <w:bCs/>
          <w:sz w:val="24"/>
          <w:szCs w:val="24"/>
        </w:rPr>
        <w:t>5</w:t>
      </w:r>
      <w:r w:rsidR="009042F8">
        <w:rPr>
          <w:rFonts w:ascii="Times New Roman" w:eastAsia="Times New Roman" w:hAnsi="Times New Roman" w:cs="Times New Roman"/>
          <w:b/>
          <w:bCs/>
          <w:sz w:val="24"/>
          <w:szCs w:val="24"/>
        </w:rPr>
        <w:t xml:space="preserve">.gada </w:t>
      </w:r>
      <w:r w:rsidR="00ED0D50">
        <w:rPr>
          <w:rFonts w:ascii="Times New Roman" w:eastAsia="Times New Roman" w:hAnsi="Times New Roman" w:cs="Times New Roman"/>
          <w:b/>
          <w:bCs/>
          <w:sz w:val="24"/>
          <w:szCs w:val="24"/>
        </w:rPr>
        <w:t>12.decembrī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ED0D50">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ED0D50">
        <w:rPr>
          <w:rFonts w:ascii="Times New Roman" w:eastAsia="Times New Roman" w:hAnsi="Times New Roman" w:cs="Times New Roman"/>
          <w:b/>
          <w:bCs/>
          <w:sz w:val="24"/>
          <w:szCs w:val="24"/>
        </w:rPr>
        <w:t>12.janvārī</w:t>
      </w:r>
      <w:r w:rsidR="009042F8" w:rsidRPr="0050333A">
        <w:rPr>
          <w:rFonts w:ascii="Times New Roman" w:eastAsia="Times New Roman" w:hAnsi="Times New Roman" w:cs="Times New Roman"/>
          <w:b/>
          <w:bCs/>
          <w:sz w:val="24"/>
          <w:szCs w:val="24"/>
        </w:rPr>
        <w:t xml:space="preserve"> </w:t>
      </w:r>
      <w:r w:rsidR="009042F8" w:rsidRPr="000C0784">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295243EF"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7A28B0">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3"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3"/>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4C83F270" w14:textId="60747620" w:rsidR="00772A72" w:rsidRPr="003D36E8" w:rsidRDefault="00772A72"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772A72">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1B522C0C"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06D45B7F"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7A28B0">
        <w:rPr>
          <w:rFonts w:ascii="Times New Roman" w:eastAsia="Times New Roman" w:hAnsi="Times New Roman" w:cs="Times New Roman"/>
          <w:sz w:val="24"/>
          <w:szCs w:val="24"/>
        </w:rPr>
        <w:t xml:space="preserve">Izsoļu </w:t>
      </w:r>
      <w:r w:rsidRPr="004041FF">
        <w:rPr>
          <w:rFonts w:ascii="Times New Roman" w:eastAsia="Times New Roman" w:hAnsi="Times New Roman" w:cs="Times New Roman"/>
          <w:sz w:val="24"/>
          <w:szCs w:val="24"/>
        </w:rPr>
        <w:t xml:space="preserve">komisija rakstveidā informē pircēju, kurš nosolījis nākamo augstāko cenu. </w:t>
      </w:r>
    </w:p>
    <w:p w14:paraId="183A54ED" w14:textId="736A74A7" w:rsidR="00DD6E4B" w:rsidRPr="000E0BDD"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3631E04E" w14:textId="77777777" w:rsidR="000E0BDD" w:rsidRPr="004041FF" w:rsidRDefault="000E0BDD" w:rsidP="000E0BDD">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b/>
          <w:sz w:val="24"/>
          <w:szCs w:val="24"/>
        </w:rPr>
      </w:pPr>
    </w:p>
    <w:p w14:paraId="23CDDC32" w14:textId="29ADC9F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64FA29FC"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2F75FF94"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Ja izsole, pamatojoties uz šo noteikumu 8.1.2., un 8.1.3.punktu, atzīta par nenotikušu, Izs</w:t>
      </w:r>
      <w:r w:rsidR="007A28B0">
        <w:rPr>
          <w:rFonts w:ascii="Times New Roman" w:eastAsia="Times New Roman" w:hAnsi="Times New Roman" w:cs="Times New Roman"/>
          <w:sz w:val="24"/>
          <w:szCs w:val="24"/>
        </w:rPr>
        <w:t>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71C2AC1A"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4"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4"/>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6E32A2DF"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 xml:space="preserve">3.2. </w:t>
      </w:r>
      <w:r w:rsidR="003442E5">
        <w:rPr>
          <w:rFonts w:ascii="Times New Roman" w:eastAsia="Times New Roman" w:hAnsi="Times New Roman" w:cs="Times New Roman"/>
          <w:sz w:val="24"/>
          <w:szCs w:val="24"/>
        </w:rPr>
        <w:t>un 3.3.</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2D25DFF2"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4F922B47" w:rsidR="00584AEA" w:rsidRPr="00F9554C" w:rsidRDefault="00F9554C" w:rsidP="00F9554C">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F9554C">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p>
    <w:p w14:paraId="5FAAB99A" w14:textId="77777777" w:rsidR="00584AEA" w:rsidRDefault="00584AEA" w:rsidP="00F9554C">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3B9D10AA" w:rsidR="00E323D8" w:rsidRPr="003442E5" w:rsidRDefault="00E323D8" w:rsidP="00E323D8">
      <w:pPr>
        <w:ind w:right="-766"/>
        <w:rPr>
          <w:rFonts w:ascii="Times New Roman" w:hAnsi="Times New Roman" w:cs="Times New Roman"/>
          <w:bCs/>
          <w:sz w:val="24"/>
          <w:szCs w:val="24"/>
        </w:rPr>
      </w:pPr>
      <w:r w:rsidRPr="003442E5">
        <w:rPr>
          <w:rFonts w:ascii="Times New Roman" w:eastAsia="Times New Roman" w:hAnsi="Times New Roman" w:cs="Times New Roman"/>
          <w:bCs/>
          <w:sz w:val="24"/>
          <w:szCs w:val="24"/>
        </w:rPr>
        <w:t>Izsoļu komisijas priekšsēdētāja</w:t>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Pr="003442E5">
        <w:rPr>
          <w:rFonts w:ascii="Times New Roman" w:eastAsia="Times New Roman" w:hAnsi="Times New Roman" w:cs="Times New Roman"/>
          <w:bCs/>
          <w:sz w:val="24"/>
          <w:szCs w:val="24"/>
        </w:rPr>
        <w:tab/>
      </w:r>
      <w:r w:rsidR="006873B7" w:rsidRPr="003442E5">
        <w:rPr>
          <w:rFonts w:ascii="Times New Roman" w:eastAsia="Times New Roman" w:hAnsi="Times New Roman" w:cs="Times New Roman"/>
          <w:bCs/>
          <w:sz w:val="24"/>
          <w:szCs w:val="24"/>
        </w:rPr>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F73EA">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10DFB"/>
    <w:rsid w:val="00021BE7"/>
    <w:rsid w:val="00021D6B"/>
    <w:rsid w:val="00025BDF"/>
    <w:rsid w:val="00054D27"/>
    <w:rsid w:val="00063474"/>
    <w:rsid w:val="00064F83"/>
    <w:rsid w:val="0009209C"/>
    <w:rsid w:val="00094292"/>
    <w:rsid w:val="000A3216"/>
    <w:rsid w:val="000A5BAB"/>
    <w:rsid w:val="000A6CB3"/>
    <w:rsid w:val="000B6169"/>
    <w:rsid w:val="000C0079"/>
    <w:rsid w:val="000C0784"/>
    <w:rsid w:val="000C14B6"/>
    <w:rsid w:val="000C7D8E"/>
    <w:rsid w:val="000D330C"/>
    <w:rsid w:val="000E0BDD"/>
    <w:rsid w:val="000F1A17"/>
    <w:rsid w:val="000F1C6E"/>
    <w:rsid w:val="00115E16"/>
    <w:rsid w:val="00146447"/>
    <w:rsid w:val="00146D68"/>
    <w:rsid w:val="001654CB"/>
    <w:rsid w:val="00187AD5"/>
    <w:rsid w:val="0019459B"/>
    <w:rsid w:val="001A557A"/>
    <w:rsid w:val="001C5531"/>
    <w:rsid w:val="001D0245"/>
    <w:rsid w:val="001E1738"/>
    <w:rsid w:val="001F3D29"/>
    <w:rsid w:val="001F5DA3"/>
    <w:rsid w:val="00211B7F"/>
    <w:rsid w:val="00216F8F"/>
    <w:rsid w:val="00217EEA"/>
    <w:rsid w:val="00231A21"/>
    <w:rsid w:val="00233227"/>
    <w:rsid w:val="00234D87"/>
    <w:rsid w:val="00243B33"/>
    <w:rsid w:val="00253EB8"/>
    <w:rsid w:val="002543F7"/>
    <w:rsid w:val="00266337"/>
    <w:rsid w:val="00285A1A"/>
    <w:rsid w:val="002A2FC8"/>
    <w:rsid w:val="002A6D61"/>
    <w:rsid w:val="002A7011"/>
    <w:rsid w:val="002C37BC"/>
    <w:rsid w:val="002E56D4"/>
    <w:rsid w:val="0030017F"/>
    <w:rsid w:val="00314DC5"/>
    <w:rsid w:val="0032775B"/>
    <w:rsid w:val="00337135"/>
    <w:rsid w:val="0034363E"/>
    <w:rsid w:val="003442E5"/>
    <w:rsid w:val="00372505"/>
    <w:rsid w:val="003844B7"/>
    <w:rsid w:val="003A1FF4"/>
    <w:rsid w:val="003A63C7"/>
    <w:rsid w:val="003A76B4"/>
    <w:rsid w:val="003D36E8"/>
    <w:rsid w:val="003F45FF"/>
    <w:rsid w:val="004173A6"/>
    <w:rsid w:val="0042133D"/>
    <w:rsid w:val="00424927"/>
    <w:rsid w:val="004404B8"/>
    <w:rsid w:val="0044096B"/>
    <w:rsid w:val="00444D00"/>
    <w:rsid w:val="00461FBF"/>
    <w:rsid w:val="00462187"/>
    <w:rsid w:val="00462EDB"/>
    <w:rsid w:val="00462F74"/>
    <w:rsid w:val="0047652B"/>
    <w:rsid w:val="004829B6"/>
    <w:rsid w:val="00490D8A"/>
    <w:rsid w:val="004A04D9"/>
    <w:rsid w:val="004A2933"/>
    <w:rsid w:val="004E3530"/>
    <w:rsid w:val="004E54D2"/>
    <w:rsid w:val="004F203F"/>
    <w:rsid w:val="004F3042"/>
    <w:rsid w:val="00512488"/>
    <w:rsid w:val="00520286"/>
    <w:rsid w:val="00535EAE"/>
    <w:rsid w:val="005435A3"/>
    <w:rsid w:val="00546BF5"/>
    <w:rsid w:val="00551610"/>
    <w:rsid w:val="00584AEA"/>
    <w:rsid w:val="00597580"/>
    <w:rsid w:val="005A3984"/>
    <w:rsid w:val="005C4E5A"/>
    <w:rsid w:val="005E40D1"/>
    <w:rsid w:val="005F7665"/>
    <w:rsid w:val="0060723E"/>
    <w:rsid w:val="00615F22"/>
    <w:rsid w:val="00616DAE"/>
    <w:rsid w:val="0062064A"/>
    <w:rsid w:val="0062516E"/>
    <w:rsid w:val="006319A5"/>
    <w:rsid w:val="00631DDD"/>
    <w:rsid w:val="0064035F"/>
    <w:rsid w:val="00674411"/>
    <w:rsid w:val="00674EA1"/>
    <w:rsid w:val="00675182"/>
    <w:rsid w:val="0068215E"/>
    <w:rsid w:val="006873B7"/>
    <w:rsid w:val="0069536E"/>
    <w:rsid w:val="006A04AF"/>
    <w:rsid w:val="006A0FCD"/>
    <w:rsid w:val="006A2670"/>
    <w:rsid w:val="006B64C2"/>
    <w:rsid w:val="006D407D"/>
    <w:rsid w:val="006D4B85"/>
    <w:rsid w:val="006D6EBB"/>
    <w:rsid w:val="006E1B30"/>
    <w:rsid w:val="0070399F"/>
    <w:rsid w:val="00725110"/>
    <w:rsid w:val="007436ED"/>
    <w:rsid w:val="00747CBD"/>
    <w:rsid w:val="00752E9C"/>
    <w:rsid w:val="00753E80"/>
    <w:rsid w:val="00756AD1"/>
    <w:rsid w:val="00756B23"/>
    <w:rsid w:val="0076176C"/>
    <w:rsid w:val="00761905"/>
    <w:rsid w:val="00772A72"/>
    <w:rsid w:val="007876E7"/>
    <w:rsid w:val="0079652E"/>
    <w:rsid w:val="007A28B0"/>
    <w:rsid w:val="007A2DFF"/>
    <w:rsid w:val="007A43C5"/>
    <w:rsid w:val="007A45A7"/>
    <w:rsid w:val="007C3DFF"/>
    <w:rsid w:val="007D3541"/>
    <w:rsid w:val="007F5060"/>
    <w:rsid w:val="007F6E74"/>
    <w:rsid w:val="00810E18"/>
    <w:rsid w:val="00844B57"/>
    <w:rsid w:val="00861A78"/>
    <w:rsid w:val="0087452E"/>
    <w:rsid w:val="008841B6"/>
    <w:rsid w:val="00890487"/>
    <w:rsid w:val="00894460"/>
    <w:rsid w:val="008C43EE"/>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26B6C"/>
    <w:rsid w:val="00935C43"/>
    <w:rsid w:val="00942548"/>
    <w:rsid w:val="00947872"/>
    <w:rsid w:val="009549A5"/>
    <w:rsid w:val="00960558"/>
    <w:rsid w:val="00974374"/>
    <w:rsid w:val="00984682"/>
    <w:rsid w:val="009C5199"/>
    <w:rsid w:val="009D2495"/>
    <w:rsid w:val="009E2DFB"/>
    <w:rsid w:val="009E602A"/>
    <w:rsid w:val="009E6B4C"/>
    <w:rsid w:val="009F392A"/>
    <w:rsid w:val="00A05513"/>
    <w:rsid w:val="00A05AD9"/>
    <w:rsid w:val="00A144A5"/>
    <w:rsid w:val="00A2772E"/>
    <w:rsid w:val="00A403AF"/>
    <w:rsid w:val="00A41A93"/>
    <w:rsid w:val="00A45450"/>
    <w:rsid w:val="00A62822"/>
    <w:rsid w:val="00A67E8B"/>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27B3"/>
    <w:rsid w:val="00BB5729"/>
    <w:rsid w:val="00BC271C"/>
    <w:rsid w:val="00BE16D5"/>
    <w:rsid w:val="00BE3462"/>
    <w:rsid w:val="00BE7EC9"/>
    <w:rsid w:val="00BF73EA"/>
    <w:rsid w:val="00C10EDB"/>
    <w:rsid w:val="00C41B02"/>
    <w:rsid w:val="00C60D4E"/>
    <w:rsid w:val="00C636E1"/>
    <w:rsid w:val="00C72A97"/>
    <w:rsid w:val="00C73555"/>
    <w:rsid w:val="00C807FA"/>
    <w:rsid w:val="00C91BF2"/>
    <w:rsid w:val="00C94782"/>
    <w:rsid w:val="00C95731"/>
    <w:rsid w:val="00C970EE"/>
    <w:rsid w:val="00CA09C0"/>
    <w:rsid w:val="00CB38DB"/>
    <w:rsid w:val="00CB4395"/>
    <w:rsid w:val="00CC381D"/>
    <w:rsid w:val="00CD3292"/>
    <w:rsid w:val="00CD5F8D"/>
    <w:rsid w:val="00CF161F"/>
    <w:rsid w:val="00D11077"/>
    <w:rsid w:val="00D2098E"/>
    <w:rsid w:val="00D214C5"/>
    <w:rsid w:val="00D22534"/>
    <w:rsid w:val="00D24255"/>
    <w:rsid w:val="00D27388"/>
    <w:rsid w:val="00D307B3"/>
    <w:rsid w:val="00D314E0"/>
    <w:rsid w:val="00D34A88"/>
    <w:rsid w:val="00D4052A"/>
    <w:rsid w:val="00D53F8A"/>
    <w:rsid w:val="00D54CE5"/>
    <w:rsid w:val="00D55676"/>
    <w:rsid w:val="00D6025A"/>
    <w:rsid w:val="00D71DF5"/>
    <w:rsid w:val="00D80F05"/>
    <w:rsid w:val="00D93AEE"/>
    <w:rsid w:val="00DB31AB"/>
    <w:rsid w:val="00DB3FEC"/>
    <w:rsid w:val="00DB73F9"/>
    <w:rsid w:val="00DC06F9"/>
    <w:rsid w:val="00DC1414"/>
    <w:rsid w:val="00DC2588"/>
    <w:rsid w:val="00DD2B83"/>
    <w:rsid w:val="00DD6E4B"/>
    <w:rsid w:val="00DE36C5"/>
    <w:rsid w:val="00DE6C81"/>
    <w:rsid w:val="00DF4D5B"/>
    <w:rsid w:val="00DF6994"/>
    <w:rsid w:val="00E0766E"/>
    <w:rsid w:val="00E1627D"/>
    <w:rsid w:val="00E231A3"/>
    <w:rsid w:val="00E272F0"/>
    <w:rsid w:val="00E308AD"/>
    <w:rsid w:val="00E323D8"/>
    <w:rsid w:val="00E62E53"/>
    <w:rsid w:val="00E63D84"/>
    <w:rsid w:val="00E74B37"/>
    <w:rsid w:val="00E768BA"/>
    <w:rsid w:val="00E8024B"/>
    <w:rsid w:val="00E86F03"/>
    <w:rsid w:val="00EA32E1"/>
    <w:rsid w:val="00EA68E3"/>
    <w:rsid w:val="00EB29D8"/>
    <w:rsid w:val="00EB2C6A"/>
    <w:rsid w:val="00EB5EBE"/>
    <w:rsid w:val="00ED0735"/>
    <w:rsid w:val="00ED0D50"/>
    <w:rsid w:val="00ED21E8"/>
    <w:rsid w:val="00F0374E"/>
    <w:rsid w:val="00F15E85"/>
    <w:rsid w:val="00F172EA"/>
    <w:rsid w:val="00F21B00"/>
    <w:rsid w:val="00F379D9"/>
    <w:rsid w:val="00F6409D"/>
    <w:rsid w:val="00F75E84"/>
    <w:rsid w:val="00F91F86"/>
    <w:rsid w:val="00F9554C"/>
    <w:rsid w:val="00FA3FA4"/>
    <w:rsid w:val="00FB5AC4"/>
    <w:rsid w:val="00FB7BD7"/>
    <w:rsid w:val="00FC203A"/>
    <w:rsid w:val="00FC3C30"/>
    <w:rsid w:val="00FC4DEE"/>
    <w:rsid w:val="00FC7404"/>
    <w:rsid w:val="00FD40B0"/>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elita.andrason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8431</Words>
  <Characters>4806</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Zanda Alksne</cp:lastModifiedBy>
  <cp:revision>2</cp:revision>
  <dcterms:created xsi:type="dcterms:W3CDTF">2025-12-10T11:32:00Z</dcterms:created>
  <dcterms:modified xsi:type="dcterms:W3CDTF">2025-12-10T11:32:00Z</dcterms:modified>
</cp:coreProperties>
</file>