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noProof/>
          <w:color w:val="0F4761" w:themeColor="accent1" w:themeShade="BF"/>
          <w:kern w:val="0"/>
          <w:lang w:eastAsia="lv-LV"/>
          <w14:ligatures w14:val="none"/>
        </w:rPr>
        <w:drawing>
          <wp:inline distT="0" distB="0" distL="0" distR="0" wp14:anchorId="7752DCE1" wp14:editId="40F09435">
            <wp:extent cx="1962150" cy="1104900"/>
            <wp:effectExtent l="0" t="0" r="0" b="0"/>
            <wp:docPr id="27641137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186345" descr="A blue text on a black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327FF36B"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71AA1B05"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25DB9624" w14:textId="77777777" w:rsidR="003C106F" w:rsidRPr="003C106F" w:rsidRDefault="003C106F" w:rsidP="003C106F">
      <w:pPr>
        <w:keepNext/>
        <w:keepLines/>
        <w:spacing w:after="0" w:line="240" w:lineRule="auto"/>
        <w:ind w:left="6237"/>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color w:val="0F4761" w:themeColor="accent1" w:themeShade="BF"/>
          <w:kern w:val="0"/>
          <w:lang w:eastAsia="lv-LV"/>
          <w14:ligatures w14:val="none"/>
        </w:rPr>
        <w:t>Apstiprināti</w:t>
      </w:r>
    </w:p>
    <w:p w14:paraId="741B9859"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VAS “Latvijas Pasts”</w:t>
      </w:r>
    </w:p>
    <w:p w14:paraId="61B09427"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Izsoles komisijas</w:t>
      </w:r>
    </w:p>
    <w:p w14:paraId="4E3085E4" w14:textId="045DC5B6"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2025.gada 2</w:t>
      </w:r>
      <w:r w:rsidR="00E41BA8">
        <w:rPr>
          <w:rFonts w:ascii="Arial" w:eastAsia="Times New Roman" w:hAnsi="Arial" w:cs="Arial"/>
          <w:kern w:val="0"/>
          <w:lang w:eastAsia="lv-LV"/>
          <w14:ligatures w14:val="none"/>
        </w:rPr>
        <w:t>0</w:t>
      </w:r>
      <w:r w:rsidRPr="003C106F">
        <w:rPr>
          <w:rFonts w:ascii="Arial" w:eastAsia="Times New Roman" w:hAnsi="Arial" w:cs="Arial"/>
          <w:kern w:val="0"/>
          <w:lang w:eastAsia="lv-LV"/>
          <w14:ligatures w14:val="none"/>
        </w:rPr>
        <w:t>.</w:t>
      </w:r>
      <w:r>
        <w:rPr>
          <w:rFonts w:ascii="Arial" w:eastAsia="Times New Roman" w:hAnsi="Arial" w:cs="Arial"/>
          <w:kern w:val="0"/>
          <w:lang w:eastAsia="lv-LV"/>
          <w14:ligatures w14:val="none"/>
        </w:rPr>
        <w:t xml:space="preserve">oktobra </w:t>
      </w:r>
      <w:r w:rsidRPr="003C106F">
        <w:rPr>
          <w:rFonts w:ascii="Arial" w:eastAsia="Times New Roman" w:hAnsi="Arial" w:cs="Arial"/>
          <w:kern w:val="0"/>
          <w:lang w:eastAsia="lv-LV"/>
          <w14:ligatures w14:val="none"/>
        </w:rPr>
        <w:t xml:space="preserve">sēdē protokols Nr. </w:t>
      </w:r>
      <w:r w:rsidRPr="00E41BA8">
        <w:rPr>
          <w:rFonts w:ascii="Arial" w:eastAsia="Times New Roman" w:hAnsi="Arial" w:cs="Arial"/>
          <w:kern w:val="0"/>
          <w:lang w:eastAsia="lv-LV"/>
          <w14:ligatures w14:val="none"/>
        </w:rPr>
        <w:t>04.1-4/</w:t>
      </w:r>
      <w:r w:rsidR="00E41BA8">
        <w:rPr>
          <w:rFonts w:ascii="Arial" w:eastAsia="Times New Roman" w:hAnsi="Arial" w:cs="Arial"/>
          <w:kern w:val="0"/>
          <w:lang w:eastAsia="lv-LV"/>
          <w14:ligatures w14:val="none"/>
        </w:rPr>
        <w:t>47</w:t>
      </w:r>
    </w:p>
    <w:p w14:paraId="368D60FB"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3C106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1BC958E0" w14:textId="77777777" w:rsidR="003C106F" w:rsidRPr="003C106F" w:rsidRDefault="003C106F" w:rsidP="003C106F">
      <w:pPr>
        <w:keepNext/>
        <w:spacing w:after="0" w:line="240" w:lineRule="auto"/>
        <w:jc w:val="center"/>
        <w:outlineLvl w:val="2"/>
        <w:rPr>
          <w:rFonts w:ascii="Arial" w:eastAsia="Times New Roman" w:hAnsi="Arial" w:cs="Arial"/>
          <w:caps/>
          <w:kern w:val="0"/>
          <w:lang w:eastAsia="lv-LV"/>
          <w14:ligatures w14:val="none"/>
        </w:rPr>
      </w:pPr>
      <w:r w:rsidRPr="003C106F">
        <w:rPr>
          <w:rFonts w:ascii="Arial" w:eastAsia="Times New Roman" w:hAnsi="Arial" w:cs="Arial"/>
          <w:kern w:val="0"/>
          <w:lang w:eastAsia="lv-LV"/>
          <w14:ligatures w14:val="none"/>
        </w:rPr>
        <w:t>Valsts akciju sabiedrības “Latvijas Pasts”</w:t>
      </w:r>
    </w:p>
    <w:p w14:paraId="16635428"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BA040A5"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Nekustamā īpašuma</w:t>
      </w:r>
    </w:p>
    <w:p w14:paraId="4DDCEA09" w14:textId="77777777" w:rsidR="003C106F" w:rsidRPr="003C106F" w:rsidRDefault="003C106F" w:rsidP="003C106F">
      <w:pPr>
        <w:spacing w:after="0" w:line="240" w:lineRule="auto"/>
        <w:jc w:val="center"/>
        <w:rPr>
          <w:rFonts w:ascii="Arial" w:eastAsia="Times New Roman" w:hAnsi="Arial" w:cs="Arial"/>
          <w:b/>
          <w:bCs/>
          <w:kern w:val="0"/>
          <w14:ligatures w14:val="none"/>
        </w:rPr>
      </w:pPr>
      <w:r w:rsidRPr="003C106F">
        <w:rPr>
          <w:rFonts w:ascii="Arial" w:eastAsia="Times New Roman" w:hAnsi="Arial" w:cs="Arial"/>
          <w:b/>
          <w:bCs/>
          <w:kern w:val="0"/>
          <w14:ligatures w14:val="none"/>
        </w:rPr>
        <w:t>Pils ielā 20, Tukumā, Tukuma novadā</w:t>
      </w:r>
    </w:p>
    <w:p w14:paraId="2F0B2AEB"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 xml:space="preserve"> elektroniskās izsoles</w:t>
      </w:r>
    </w:p>
    <w:p w14:paraId="5A7A566E" w14:textId="264FC424"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w:t>
      </w:r>
      <w:r>
        <w:rPr>
          <w:rFonts w:ascii="Arial" w:eastAsia="Times New Roman" w:hAnsi="Arial" w:cs="Arial"/>
          <w:b/>
          <w:kern w:val="0"/>
          <w:lang w:eastAsia="lv-LV"/>
          <w14:ligatures w14:val="none"/>
        </w:rPr>
        <w:t>2</w:t>
      </w:r>
      <w:r w:rsidRPr="003C106F">
        <w:rPr>
          <w:rFonts w:ascii="Arial" w:eastAsia="Times New Roman" w:hAnsi="Arial" w:cs="Arial"/>
          <w:b/>
          <w:kern w:val="0"/>
          <w:lang w:eastAsia="lv-LV"/>
          <w14:ligatures w14:val="none"/>
        </w:rPr>
        <w:t>.kārta)</w:t>
      </w:r>
    </w:p>
    <w:p w14:paraId="2252AAB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6C899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noteikumi</w:t>
      </w:r>
    </w:p>
    <w:p w14:paraId="56E6845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47124A6"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397E2F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4EB4F2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248B68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A8F42B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04FE5E7D"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2D7BA14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AE5E4C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0874A1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5014A0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D82176E"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Mārupes novadā</w:t>
      </w:r>
    </w:p>
    <w:p w14:paraId="02C9C0D7" w14:textId="77777777" w:rsidR="003C106F" w:rsidRPr="003C106F" w:rsidRDefault="003C106F" w:rsidP="003C106F">
      <w:pPr>
        <w:spacing w:after="0" w:line="240" w:lineRule="auto"/>
        <w:jc w:val="center"/>
        <w:rPr>
          <w:rFonts w:ascii="Arial" w:eastAsia="Times New Roman" w:hAnsi="Arial" w:cs="Arial"/>
          <w:b/>
          <w:kern w:val="0"/>
          <w14:ligatures w14:val="none"/>
        </w:rPr>
      </w:pPr>
      <w:r w:rsidRPr="003C106F">
        <w:rPr>
          <w:rFonts w:ascii="Arial" w:eastAsia="Times New Roman" w:hAnsi="Arial" w:cs="Arial"/>
          <w:kern w:val="0"/>
          <w:lang w:eastAsia="lv-LV"/>
          <w14:ligatures w14:val="none"/>
        </w:rPr>
        <w:t>2025.gadā</w:t>
      </w:r>
      <w:r w:rsidRPr="003C106F">
        <w:rPr>
          <w:rFonts w:ascii="Arial" w:eastAsia="Times New Roman" w:hAnsi="Arial" w:cs="Arial"/>
          <w:b/>
          <w:color w:val="FF0000"/>
          <w:kern w:val="0"/>
          <w:lang w:eastAsia="lv-LV"/>
          <w14:ligatures w14:val="none"/>
        </w:rPr>
        <w:br w:type="page"/>
      </w:r>
    </w:p>
    <w:p w14:paraId="10F79E8C" w14:textId="77777777" w:rsidR="003C106F" w:rsidRPr="003C106F" w:rsidRDefault="003C106F" w:rsidP="003C106F">
      <w:pPr>
        <w:numPr>
          <w:ilvl w:val="0"/>
          <w:numId w:val="1"/>
        </w:numPr>
        <w:spacing w:after="0" w:line="276" w:lineRule="auto"/>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Izmantoto terminu skaidrojums</w:t>
      </w:r>
    </w:p>
    <w:p w14:paraId="068A1B4F"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dalības maksa</w:t>
      </w:r>
      <w:r w:rsidRPr="003C106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dalībnieks</w:t>
      </w:r>
      <w:r w:rsidRPr="003C106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Civillikuma 2077.pantu.</w:t>
      </w:r>
    </w:p>
    <w:p w14:paraId="5672F28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komisija</w:t>
      </w:r>
      <w:r w:rsidRPr="003C106F">
        <w:rPr>
          <w:rFonts w:ascii="Arial" w:eastAsia="Times New Roman" w:hAnsi="Arial" w:cs="Arial"/>
          <w:kern w:val="0"/>
          <w14:ligatures w14:val="none"/>
        </w:rPr>
        <w:t xml:space="preserve"> – ar VAS “Latvijas Pasts” valdes lēmumu apstiprināta Izsoles komisija.</w:t>
      </w:r>
    </w:p>
    <w:p w14:paraId="12CEF0A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Izsoles objekts – </w:t>
      </w:r>
      <w:r w:rsidRPr="003C106F">
        <w:rPr>
          <w:rFonts w:ascii="Arial" w:eastAsia="Times New Roman" w:hAnsi="Arial" w:cs="Arial"/>
          <w:bCs/>
          <w:kern w:val="0"/>
          <w14:ligatures w14:val="none"/>
        </w:rPr>
        <w:t xml:space="preserve">Izsoles noteikumu 2.punktā norādītais nekustamais īpašums. </w:t>
      </w:r>
    </w:p>
    <w:p w14:paraId="27F2CE59"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noteikumi</w:t>
      </w:r>
      <w:r w:rsidRPr="003C106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uzvarētājs</w:t>
      </w:r>
      <w:r w:rsidRPr="003C106F">
        <w:rPr>
          <w:rFonts w:ascii="Arial" w:eastAsia="Times New Roman" w:hAnsi="Arial" w:cs="Arial"/>
          <w:kern w:val="0"/>
          <w14:ligatures w14:val="none"/>
        </w:rPr>
        <w:t xml:space="preserve"> – Izsoles dalībnieks, kurš par Izsoles objektu nosolījis Nosolīto cenu.</w:t>
      </w:r>
    </w:p>
    <w:p w14:paraId="24FB3F7E"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bCs/>
          <w:kern w:val="0"/>
          <w14:ligatures w14:val="none"/>
        </w:rPr>
        <w:t>NILLTPFN daļa</w:t>
      </w:r>
      <w:r w:rsidRPr="003C106F">
        <w:rPr>
          <w:rFonts w:ascii="Arial" w:eastAsia="Times New Roman" w:hAnsi="Arial" w:cs="Arial"/>
          <w:kern w:val="0"/>
          <w14:ligatures w14:val="none"/>
        </w:rPr>
        <w:t xml:space="preserve"> – VAS “Latvijas Pasts” Noziedzīgi iegūtu līdzekļu legalizācijas un terorisma un </w:t>
      </w:r>
      <w:proofErr w:type="spellStart"/>
      <w:r w:rsidRPr="003C106F">
        <w:rPr>
          <w:rFonts w:ascii="Arial" w:eastAsia="Times New Roman" w:hAnsi="Arial" w:cs="Arial"/>
          <w:kern w:val="0"/>
          <w14:ligatures w14:val="none"/>
        </w:rPr>
        <w:t>proliferācijas</w:t>
      </w:r>
      <w:proofErr w:type="spellEnd"/>
      <w:r w:rsidRPr="003C106F">
        <w:rPr>
          <w:rFonts w:ascii="Arial" w:eastAsia="Times New Roman" w:hAnsi="Arial" w:cs="Arial"/>
          <w:kern w:val="0"/>
          <w14:ligatures w14:val="none"/>
        </w:rPr>
        <w:t xml:space="preserve"> finansēšanas novēršanas daļa.</w:t>
      </w:r>
    </w:p>
    <w:p w14:paraId="55BF7B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Nosolītā cena</w:t>
      </w:r>
      <w:r w:rsidRPr="003C106F">
        <w:rPr>
          <w:rFonts w:ascii="Arial" w:eastAsia="Times New Roman" w:hAnsi="Arial" w:cs="Arial"/>
          <w:kern w:val="0"/>
          <w14:ligatures w14:val="none"/>
        </w:rPr>
        <w:t xml:space="preserve"> – visaugstākā nosolītā Izsoles objekta cena, kas Izsoles uzvarētājam jāsamaksā VAS “Latvijas Pasts” kā Izsoles objekta pirkuma maksa.</w:t>
      </w:r>
    </w:p>
    <w:p w14:paraId="2DE23C02"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Pasts </w:t>
      </w:r>
      <w:r w:rsidRPr="003C106F">
        <w:rPr>
          <w:rFonts w:ascii="Arial" w:eastAsia="Times New Roman" w:hAnsi="Arial" w:cs="Arial"/>
          <w:bCs/>
          <w:kern w:val="0"/>
          <w14:ligatures w14:val="none"/>
        </w:rPr>
        <w:t>–</w:t>
      </w:r>
      <w:r w:rsidRPr="003C106F">
        <w:rPr>
          <w:rFonts w:ascii="Arial" w:eastAsia="Times New Roman" w:hAnsi="Arial" w:cs="Arial"/>
          <w:b/>
          <w:kern w:val="0"/>
          <w14:ligatures w14:val="none"/>
        </w:rPr>
        <w:t xml:space="preserve"> </w:t>
      </w:r>
      <w:r w:rsidRPr="003C106F">
        <w:rPr>
          <w:rFonts w:ascii="Arial" w:eastAsia="Times New Roman" w:hAnsi="Arial" w:cs="Arial"/>
          <w:bCs/>
          <w:kern w:val="0"/>
          <w14:ligatures w14:val="none"/>
        </w:rPr>
        <w:t>VAS “Latvijas Pasts”.</w:t>
      </w:r>
      <w:r w:rsidRPr="003C106F">
        <w:rPr>
          <w:rFonts w:ascii="Arial" w:eastAsia="Times New Roman" w:hAnsi="Arial" w:cs="Arial"/>
          <w:kern w:val="0"/>
          <w14:ligatures w14:val="none"/>
        </w:rPr>
        <w:t xml:space="preserve"> </w:t>
      </w:r>
    </w:p>
    <w:p w14:paraId="5B24EE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Pirkuma nodrošinājums</w:t>
      </w:r>
      <w:r w:rsidRPr="003C106F">
        <w:rPr>
          <w:rFonts w:ascii="Arial" w:eastAsia="Times New Roman" w:hAnsi="Arial" w:cs="Arial"/>
          <w:bCs/>
          <w:iCs/>
          <w:kern w:val="0"/>
          <w14:ligatures w14:val="none"/>
        </w:rPr>
        <w:t xml:space="preserve"> – 10% (desmit procenti) no </w:t>
      </w:r>
      <w:bookmarkStart w:id="0" w:name="_Hlk113961793"/>
      <w:r w:rsidRPr="003C106F">
        <w:rPr>
          <w:rFonts w:ascii="Arial" w:eastAsia="Times New Roman" w:hAnsi="Arial" w:cs="Arial"/>
          <w:bCs/>
          <w:iCs/>
          <w:kern w:val="0"/>
          <w14:ligatures w14:val="none"/>
        </w:rPr>
        <w:t>Izsoles objekta Sākuma cenas</w:t>
      </w:r>
      <w:bookmarkEnd w:id="0"/>
      <w:r w:rsidRPr="003C106F">
        <w:rPr>
          <w:rFonts w:ascii="Arial" w:eastAsia="Times New Roman" w:hAnsi="Arial" w:cs="Arial"/>
          <w:bCs/>
          <w:iCs/>
          <w:kern w:val="0"/>
          <w14:ligatures w14:val="none"/>
        </w:rPr>
        <w:t>.</w:t>
      </w:r>
    </w:p>
    <w:p w14:paraId="32F07C8E"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 xml:space="preserve">Rīkotāja </w:t>
      </w:r>
      <w:r w:rsidRPr="003C106F">
        <w:rPr>
          <w:rFonts w:ascii="Arial" w:eastAsia="Times New Roman" w:hAnsi="Arial" w:cs="Arial"/>
          <w:b/>
          <w:kern w:val="0"/>
          <w14:ligatures w14:val="none"/>
        </w:rPr>
        <w:t>dalības maksa</w:t>
      </w:r>
      <w:r w:rsidRPr="003C106F">
        <w:rPr>
          <w:rFonts w:ascii="Arial" w:eastAsia="Times New Roman" w:hAnsi="Arial" w:cs="Arial"/>
          <w:b/>
          <w:iCs/>
          <w:kern w:val="0"/>
          <w14:ligatures w14:val="none"/>
        </w:rPr>
        <w:t xml:space="preserve"> – </w:t>
      </w:r>
      <w:r w:rsidRPr="003C106F">
        <w:rPr>
          <w:rFonts w:ascii="Arial" w:eastAsia="Times New Roman" w:hAnsi="Arial" w:cs="Arial"/>
          <w:bCs/>
          <w:iCs/>
          <w:kern w:val="0"/>
          <w14:ligatures w14:val="none"/>
        </w:rPr>
        <w:t>Izsoles noteikumu 4.2.punktā norādītā maksa par dalību izsolē, kuras apmaksu Izsoles dalībnieks veic Izsoles noteikumu 4.3.punktā noteiktajā kārtībā;</w:t>
      </w:r>
    </w:p>
    <w:p w14:paraId="4EE732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 xml:space="preserve">Sākuma cena </w:t>
      </w:r>
      <w:r w:rsidRPr="003C106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Solis</w:t>
      </w:r>
      <w:r w:rsidRPr="003C106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3C106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3C106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3C106F">
        <w:rPr>
          <w:rFonts w:ascii="Arial" w:eastAsia="Times New Roman" w:hAnsi="Arial" w:cs="Arial"/>
          <w:b/>
          <w:kern w:val="0"/>
          <w14:ligatures w14:val="none"/>
        </w:rPr>
        <w:t>Izsoles objekta raksturojums</w:t>
      </w:r>
    </w:p>
    <w:p w14:paraId="14F580F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Nekustamais īpašums: </w:t>
      </w:r>
      <w:r w:rsidRPr="003C106F">
        <w:rPr>
          <w:rFonts w:ascii="Arial" w:eastAsia="Times New Roman" w:hAnsi="Arial" w:cs="Arial"/>
          <w:kern w:val="0"/>
          <w14:ligatures w14:val="none"/>
        </w:rPr>
        <w:t>Pils iela 20, Tukums, Tukuma novads, kadastra Nr.90010040159.</w:t>
      </w:r>
    </w:p>
    <w:p w14:paraId="29626611" w14:textId="77777777" w:rsidR="003C106F" w:rsidRPr="003C106F" w:rsidRDefault="003C106F" w:rsidP="003C106F">
      <w:pPr>
        <w:numPr>
          <w:ilvl w:val="1"/>
          <w:numId w:val="1"/>
        </w:numPr>
        <w:spacing w:after="0" w:line="276" w:lineRule="auto"/>
        <w:ind w:left="567" w:hanging="573"/>
        <w:jc w:val="both"/>
        <w:rPr>
          <w:rFonts w:ascii="Arial" w:eastAsia="Times New Roman" w:hAnsi="Arial" w:cs="Arial"/>
          <w:kern w:val="0"/>
          <w14:ligatures w14:val="none"/>
        </w:rPr>
      </w:pPr>
      <w:r w:rsidRPr="003C106F">
        <w:rPr>
          <w:rFonts w:ascii="Arial" w:eastAsia="Times New Roman" w:hAnsi="Arial" w:cs="Arial"/>
          <w:b/>
          <w:kern w:val="0"/>
          <w14:ligatures w14:val="none"/>
        </w:rPr>
        <w:t>Izsoles objekta sastāvs:</w:t>
      </w:r>
    </w:p>
    <w:p w14:paraId="3EF27331" w14:textId="77777777"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zemes gabals 739 m</w:t>
      </w:r>
      <w:r w:rsidRPr="003C106F">
        <w:rPr>
          <w:rFonts w:ascii="Arial" w:eastAsia="Times New Roman" w:hAnsi="Arial" w:cs="Arial"/>
          <w:kern w:val="0"/>
          <w:vertAlign w:val="superscript"/>
          <w14:ligatures w14:val="none"/>
        </w:rPr>
        <w:t xml:space="preserve">2 </w:t>
      </w:r>
      <w:r w:rsidRPr="003C106F">
        <w:rPr>
          <w:rFonts w:ascii="Arial" w:eastAsia="Times New Roman" w:hAnsi="Arial" w:cs="Arial"/>
          <w:kern w:val="0"/>
          <w14:ligatures w14:val="none"/>
        </w:rPr>
        <w:t>platībā,</w:t>
      </w:r>
    </w:p>
    <w:p w14:paraId="7639F08B" w14:textId="77777777"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pasta ēka, kadastra apzīmējums 90010040159001 – platība 693.2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w:t>
      </w:r>
    </w:p>
    <w:p w14:paraId="27CE0B38"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Izsoles objekta apgrūtinājumi: </w:t>
      </w:r>
      <w:r w:rsidRPr="003C106F">
        <w:rPr>
          <w:rFonts w:ascii="Arial" w:eastAsia="Times New Roman" w:hAnsi="Arial" w:cs="Arial"/>
          <w:bCs/>
          <w:kern w:val="0"/>
          <w14:ligatures w14:val="none"/>
        </w:rPr>
        <w:t xml:space="preserve">atbilstoši ierakstiem Tukuma pilsētas zemesgrāmatas nodalījumā Nr.2081. </w:t>
      </w:r>
    </w:p>
    <w:p w14:paraId="26912D99"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Cs/>
          <w:kern w:val="0"/>
          <w14:ligatures w14:val="none"/>
        </w:rPr>
      </w:pPr>
      <w:proofErr w:type="spellStart"/>
      <w:r w:rsidRPr="003C106F">
        <w:rPr>
          <w:rFonts w:ascii="Arial" w:eastAsia="Times New Roman" w:hAnsi="Arial" w:cs="Arial"/>
          <w:b/>
          <w:kern w:val="0"/>
          <w14:ligatures w14:val="none"/>
        </w:rPr>
        <w:t>Pirmpirkumtiesīgās</w:t>
      </w:r>
      <w:proofErr w:type="spellEnd"/>
      <w:r w:rsidRPr="003C106F">
        <w:rPr>
          <w:rFonts w:ascii="Arial" w:eastAsia="Times New Roman" w:hAnsi="Arial" w:cs="Arial"/>
          <w:b/>
          <w:kern w:val="0"/>
          <w14:ligatures w14:val="none"/>
        </w:rPr>
        <w:t xml:space="preserve"> personas uz izsoles objektu:</w:t>
      </w:r>
      <w:r w:rsidRPr="003C106F">
        <w:rPr>
          <w:rFonts w:ascii="Arial" w:eastAsia="Times New Roman" w:hAnsi="Arial" w:cs="Arial"/>
          <w:bCs/>
          <w:kern w:val="0"/>
          <w14:ligatures w14:val="none"/>
        </w:rPr>
        <w:t xml:space="preserve">  nav.</w:t>
      </w:r>
    </w:p>
    <w:p w14:paraId="2A8F20A6"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Cita informācija: </w:t>
      </w:r>
      <w:r w:rsidRPr="003C106F">
        <w:rPr>
          <w:rFonts w:ascii="Arial" w:eastAsia="Times New Roman" w:hAnsi="Arial" w:cs="Arial"/>
          <w:bCs/>
          <w:kern w:val="0"/>
          <w14:ligatures w14:val="none"/>
        </w:rPr>
        <w:t xml:space="preserve"> </w:t>
      </w:r>
      <w:r w:rsidRPr="003C106F">
        <w:rPr>
          <w:rFonts w:ascii="Arial" w:eastAsia="Times New Roman" w:hAnsi="Arial" w:cs="Arial"/>
          <w:kern w:val="0"/>
          <w14:ligatures w14:val="none"/>
        </w:rPr>
        <w:t>Pasta saimnieciskās darbības nodrošināšanai Tukuma pasta nodaļas vajadzībām izmanto telpas ar kopējo platību 171.2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telpas 156.20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tiek iznomātas.</w:t>
      </w:r>
    </w:p>
    <w:p w14:paraId="4FE44085"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
          <w:bCs/>
          <w:kern w:val="0"/>
          <w14:ligatures w14:val="none"/>
        </w:rPr>
      </w:pPr>
      <w:r w:rsidRPr="003C106F">
        <w:rPr>
          <w:rFonts w:ascii="Arial" w:eastAsia="Times New Roman" w:hAnsi="Arial" w:cs="Arial"/>
          <w:b/>
          <w:kern w:val="0"/>
          <w14:ligatures w14:val="none"/>
        </w:rPr>
        <w:t>Papildnosacījumi:</w:t>
      </w:r>
      <w:r w:rsidRPr="003C106F">
        <w:rPr>
          <w:rFonts w:ascii="Arial" w:eastAsia="Times New Roman" w:hAnsi="Arial" w:cs="Arial"/>
          <w:kern w:val="0"/>
          <w14:ligatures w14:val="none"/>
        </w:rPr>
        <w:t xml:space="preserve"> Lai nodrošinātu turpmākai Pasta saimnieciskajai darbībai nepieciešamās telpas, ieguvēja (pircēja) pienākums ir 1 (viena) gada periodā no īpašumtiesību maiņas reģistrācijas dienas zemesgrāmatā iznomāt nekustamajā īpašumā telpas ne vairāk kā 171.2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1.stāvā atsavinātāja (Pasts) Tukuma pasta nodaļas izvietošanai, nomas maksu nosakot 2.50 EUR/m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neieskaitot pievienotās vērtības nodokli, noslēdzot nekustamā īpašuma nomas līgumu. Nomas līguma noteikumos paredzēt, ka jaunais īpašnieks nodrošina piekļuvi koplietošanas telpām, sanitārajam mezglam, kā arī autostāvvietu pagalmā automašīnu novietošanai, un nedrīkst vienpusēji lauzt līgumu, savukārt, Pasts drīkst lauzt līgumu, brīdinot otru pusi 2 (divus) mēnešus iepriekš (Nomas līguma projektu lūdzu skatīt Izsoles noteikumu pielikumā Nr.2).</w:t>
      </w:r>
    </w:p>
    <w:p w14:paraId="028BFB59" w14:textId="77777777" w:rsidR="003C106F" w:rsidRPr="003C106F" w:rsidRDefault="003C106F" w:rsidP="003C106F">
      <w:pPr>
        <w:tabs>
          <w:tab w:val="left" w:pos="567"/>
        </w:tabs>
        <w:spacing w:after="0" w:line="276" w:lineRule="auto"/>
        <w:ind w:left="567"/>
        <w:jc w:val="both"/>
        <w:rPr>
          <w:rFonts w:ascii="Arial" w:eastAsia="Times New Roman" w:hAnsi="Arial" w:cs="Arial"/>
          <w:bCs/>
          <w:kern w:val="0"/>
          <w14:ligatures w14:val="none"/>
        </w:rPr>
      </w:pPr>
    </w:p>
    <w:p w14:paraId="4F362E51"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Vispārīgie noteikumi</w:t>
      </w:r>
    </w:p>
    <w:p w14:paraId="6C9BC0FA"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Noteikumi nosaka kārtību, kādā notiek Pastam piederoša nekustamā īpašuma atsavināšana elektroniskā izsolē ar augšupejošu soli.</w:t>
      </w:r>
    </w:p>
    <w:p w14:paraId="2E4728B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Izsoli organizē un veic Izsoles komisija (kontaktinformācija: tālruņa numurs 27892705, e-pasta adrese - </w:t>
      </w:r>
      <w:hyperlink r:id="rId9" w:history="1">
        <w:r w:rsidRPr="003C106F">
          <w:rPr>
            <w:rFonts w:ascii="Arial" w:eastAsia="Times New Roman" w:hAnsi="Arial" w:cs="Arial"/>
            <w:color w:val="0000FF"/>
            <w:kern w:val="0"/>
            <w:u w:val="single"/>
            <w14:ligatures w14:val="none"/>
          </w:rPr>
          <w:t>izsoles@pasts.lv</w:t>
        </w:r>
      </w:hyperlink>
      <w:r w:rsidRPr="003C106F">
        <w:rPr>
          <w:rFonts w:ascii="Arial" w:eastAsia="Times New Roman" w:hAnsi="Arial" w:cs="Arial"/>
          <w:kern w:val="0"/>
          <w14:ligatures w14:val="none"/>
        </w:rPr>
        <w:t>).</w:t>
      </w:r>
    </w:p>
    <w:p w14:paraId="7AF1AB8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 tiek izsludināta Latvijas Republikas oficiālajā izdevumā “Latvijas Vēstnesis”, Pasta mājas lapā </w:t>
      </w:r>
      <w:hyperlink r:id="rId10" w:history="1">
        <w:r w:rsidRPr="003C106F">
          <w:rPr>
            <w:rFonts w:ascii="Arial" w:eastAsia="Times New Roman" w:hAnsi="Arial" w:cs="Arial"/>
            <w:color w:val="0000FF"/>
            <w:kern w:val="0"/>
            <w:u w:val="single"/>
            <w14:ligatures w14:val="none"/>
          </w:rPr>
          <w:t>www.pasts.lv</w:t>
        </w:r>
      </w:hyperlink>
      <w:r w:rsidRPr="003C106F">
        <w:rPr>
          <w:rFonts w:ascii="Arial" w:eastAsia="Times New Roman" w:hAnsi="Arial" w:cs="Arial"/>
          <w:color w:val="0000FF"/>
          <w:kern w:val="0"/>
          <w:u w:val="single"/>
          <w14:ligatures w14:val="none"/>
        </w:rPr>
        <w:t xml:space="preserve"> </w:t>
      </w:r>
      <w:bookmarkStart w:id="1" w:name="_Hlk113279523"/>
      <w:r w:rsidRPr="003C106F">
        <w:rPr>
          <w:rFonts w:ascii="Arial" w:eastAsia="Times New Roman" w:hAnsi="Arial" w:cs="Arial"/>
          <w:color w:val="0000FF"/>
          <w:kern w:val="0"/>
          <w:u w:val="single"/>
          <w14:ligatures w14:val="none"/>
        </w:rPr>
        <w:t>un</w:t>
      </w:r>
      <w:r w:rsidRPr="003C106F">
        <w:rPr>
          <w:rFonts w:ascii="Arial" w:eastAsia="Times New Roman" w:hAnsi="Arial" w:cs="Arial"/>
          <w:kern w:val="0"/>
          <w14:ligatures w14:val="none"/>
        </w:rPr>
        <w:t xml:space="preserve"> Tiesu administrācijas elektroniskajā izsoļu vietnē</w:t>
      </w:r>
      <w:r w:rsidRPr="003C106F">
        <w:rPr>
          <w:rFonts w:ascii="Arial" w:eastAsia="Times New Roman" w:hAnsi="Arial" w:cs="Arial"/>
          <w:color w:val="0000FF"/>
          <w:kern w:val="0"/>
          <w:u w:val="single"/>
          <w14:ligatures w14:val="none"/>
        </w:rPr>
        <w:t xml:space="preserve"> </w:t>
      </w:r>
      <w:hyperlink r:id="rId11" w:history="1">
        <w:r w:rsidRPr="003C106F">
          <w:rPr>
            <w:rFonts w:ascii="Arial" w:eastAsia="Times New Roman" w:hAnsi="Arial" w:cs="Arial"/>
            <w:color w:val="0000FF"/>
            <w:kern w:val="0"/>
            <w:u w:val="single"/>
            <w14:ligatures w14:val="none"/>
          </w:rPr>
          <w:t>https://izsoles.ta.gov.lv</w:t>
        </w:r>
      </w:hyperlink>
      <w:bookmarkEnd w:id="1"/>
      <w:r w:rsidRPr="003C106F">
        <w:rPr>
          <w:rFonts w:ascii="Arial" w:eastAsia="Times New Roman" w:hAnsi="Arial" w:cs="Arial"/>
          <w:color w:val="0000FF"/>
          <w:kern w:val="0"/>
          <w:u w:val="single"/>
          <w14:ligatures w14:val="none"/>
        </w:rPr>
        <w:t xml:space="preserve">, </w:t>
      </w:r>
      <w:r w:rsidRPr="003C106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noteikumi tiek publicēti Tiesu administrācijas elektroniskajā izsoļu vietnē </w:t>
      </w:r>
      <w:hyperlink r:id="rId12"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0C902824" w14:textId="32044B2F"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sākuma laiks: </w:t>
      </w:r>
      <w:r w:rsidRPr="003C106F">
        <w:rPr>
          <w:rFonts w:ascii="Arial" w:eastAsia="Times New Roman" w:hAnsi="Arial" w:cs="Arial"/>
          <w:kern w:val="0"/>
          <w:u w:val="single"/>
          <w14:ligatures w14:val="none"/>
        </w:rPr>
        <w:t xml:space="preserve">2025.gada </w:t>
      </w:r>
      <w:r>
        <w:rPr>
          <w:rFonts w:ascii="Arial" w:eastAsia="Times New Roman" w:hAnsi="Arial" w:cs="Arial"/>
          <w:kern w:val="0"/>
          <w:u w:val="single"/>
          <w14:ligatures w14:val="none"/>
        </w:rPr>
        <w:t>06</w:t>
      </w:r>
      <w:r w:rsidRPr="003C106F">
        <w:rPr>
          <w:rFonts w:ascii="Arial" w:eastAsia="Times New Roman" w:hAnsi="Arial" w:cs="Arial"/>
          <w:kern w:val="0"/>
          <w:u w:val="single"/>
          <w14:ligatures w14:val="none"/>
        </w:rPr>
        <w:t>.</w:t>
      </w:r>
      <w:r>
        <w:rPr>
          <w:rFonts w:ascii="Arial" w:eastAsia="Times New Roman" w:hAnsi="Arial" w:cs="Arial"/>
          <w:kern w:val="0"/>
          <w:u w:val="single"/>
          <w14:ligatures w14:val="none"/>
        </w:rPr>
        <w:t>novembrī</w:t>
      </w:r>
      <w:r w:rsidRPr="003C106F">
        <w:rPr>
          <w:rFonts w:ascii="Arial" w:eastAsia="Times New Roman" w:hAnsi="Arial" w:cs="Arial"/>
          <w:kern w:val="0"/>
          <w:u w:val="single"/>
          <w14:ligatures w14:val="none"/>
        </w:rPr>
        <w:t>, plkst.13.00</w:t>
      </w:r>
      <w:r w:rsidRPr="003C106F">
        <w:rPr>
          <w:rFonts w:ascii="Arial" w:eastAsia="Times New Roman" w:hAnsi="Arial" w:cs="Arial"/>
          <w:kern w:val="0"/>
          <w14:ligatures w14:val="none"/>
        </w:rPr>
        <w:t>.</w:t>
      </w:r>
    </w:p>
    <w:p w14:paraId="1160B4D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norises vieta: Tiesu administrācijas elektroniskajā izsoļu vietnē </w:t>
      </w:r>
      <w:hyperlink r:id="rId13"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4607363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veids un atsavināšanas paņēmiens: pārdošana elektroniskā izsolē ar augšupejošu soli.</w:t>
      </w:r>
    </w:p>
    <w:p w14:paraId="1DB78AB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2" w:name="_Hlk163556269"/>
      <w:r w:rsidRPr="003C106F">
        <w:rPr>
          <w:rFonts w:ascii="Arial" w:eastAsia="Times New Roman" w:hAnsi="Arial" w:cs="Arial"/>
          <w:kern w:val="0"/>
          <w14:ligatures w14:val="none"/>
        </w:rPr>
        <w:t xml:space="preserve">Reģistrējoties izsolei un veicot Rīkotāja dalības maksas samaksu un Pirkuma nodrošinājuma samaksu Izsoles dalībnieks apliecina, ka: </w:t>
      </w:r>
    </w:p>
    <w:p w14:paraId="25523553"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ir iepazinies ar Izsoles noteikumiem un pirkuma līguma projektu (skat. Izsoles noteikumu pielikumu Nr.1) un nomas līguma projektu (skat. Izsoles noteikumu pielikumu Nr.2), </w:t>
      </w:r>
    </w:p>
    <w:p w14:paraId="5DD481A0"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77777777" w:rsidR="003C106F" w:rsidRPr="003C106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3.9.3. apzinās Izsoles objekta vērtību un atsakās celt pretenzijas pret Pastu jebkādu zaudējumu dēļ. </w:t>
      </w:r>
    </w:p>
    <w:bookmarkEnd w:id="2"/>
    <w:p w14:paraId="3D737FF9" w14:textId="77777777" w:rsidR="003C106F" w:rsidRPr="003C106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Reģistrācija izsolei un dalības maksas samaksas kārtība</w:t>
      </w:r>
    </w:p>
    <w:p w14:paraId="30FCD0F1"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Pieteikšanās dalībai izsolē notiek izmantojot Tiesu administrācijas elektronisko izsoļu </w:t>
      </w:r>
      <w:r w:rsidRPr="003C106F">
        <w:rPr>
          <w:rFonts w:ascii="Arial" w:eastAsia="Times New Roman" w:hAnsi="Arial" w:cs="Arial"/>
          <w:kern w:val="0"/>
          <w14:ligatures w14:val="none"/>
        </w:rPr>
        <w:t>vietnē</w:t>
      </w:r>
      <w:r w:rsidRPr="003C106F">
        <w:rPr>
          <w:rFonts w:ascii="Arial" w:eastAsia="Times New Roman" w:hAnsi="Arial" w:cs="Arial"/>
          <w:iCs/>
          <w:kern w:val="0"/>
          <w14:ligatures w14:val="none"/>
        </w:rPr>
        <w:t xml:space="preserve"> (</w:t>
      </w:r>
      <w:hyperlink r:id="rId14"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xml:space="preserve">) pieejamo elektronisko pakalpojumu “Par e-izsoļu vietnes dalībnieka dalību konkrētā izsolē”, identificējoties ar vienu no vienotajā valsts un pašvaldību portālā </w:t>
      </w:r>
      <w:hyperlink r:id="rId15" w:history="1">
        <w:r w:rsidRPr="003C106F">
          <w:rPr>
            <w:rFonts w:ascii="Arial" w:eastAsia="Times New Roman" w:hAnsi="Arial" w:cs="Arial"/>
            <w:iCs/>
            <w:color w:val="0000FF"/>
            <w:kern w:val="0"/>
            <w:u w:val="single"/>
            <w14:ligatures w14:val="none"/>
          </w:rPr>
          <w:t>www.latvija.lv</w:t>
        </w:r>
      </w:hyperlink>
      <w:r w:rsidRPr="003C106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Persona, kura vēlas piedalīties izsolē:</w:t>
      </w:r>
    </w:p>
    <w:p w14:paraId="0B5727BF"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reģistrējas dalībai izsolē šo noteikumu 4.1.punktā noteiktajā kārtībā un veic:</w:t>
      </w:r>
    </w:p>
    <w:p w14:paraId="299C86DB"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Izsoles dalības maksas (saņēmēja Tiesu administrācija) samaksu saskaņā ar portāla (</w:t>
      </w:r>
      <w:hyperlink r:id="rId16"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ģenerēto un uz Izsoles dalībnieka norādīto e-pastu nosūtīto rēķinu;</w:t>
      </w:r>
    </w:p>
    <w:p w14:paraId="74EE496F"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Rīkotāja dalības maksas (saņēmējs Pasts) samaksu – </w:t>
      </w:r>
      <w:r w:rsidRPr="003C106F">
        <w:rPr>
          <w:rFonts w:ascii="Arial" w:eastAsia="Times New Roman" w:hAnsi="Arial" w:cs="Arial"/>
          <w:b/>
          <w:bCs/>
          <w:iCs/>
          <w:kern w:val="0"/>
          <w14:ligatures w14:val="none"/>
        </w:rPr>
        <w:t>180.00 EUR</w:t>
      </w:r>
      <w:r w:rsidRPr="003C106F">
        <w:rPr>
          <w:rFonts w:ascii="Arial" w:eastAsia="Times New Roman" w:hAnsi="Arial" w:cs="Arial"/>
          <w:iCs/>
          <w:kern w:val="0"/>
          <w14:ligatures w14:val="none"/>
        </w:rPr>
        <w:t xml:space="preserve"> (</w:t>
      </w:r>
      <w:bookmarkStart w:id="3" w:name="_Hlk149123560"/>
      <w:r w:rsidRPr="003C106F">
        <w:rPr>
          <w:rFonts w:ascii="Arial" w:eastAsia="Times New Roman" w:hAnsi="Arial" w:cs="Arial"/>
          <w:iCs/>
          <w:kern w:val="0"/>
          <w14:ligatures w14:val="none"/>
        </w:rPr>
        <w:t xml:space="preserve">astoņdesmit </w:t>
      </w:r>
      <w:proofErr w:type="spellStart"/>
      <w:r w:rsidRPr="003C106F">
        <w:rPr>
          <w:rFonts w:ascii="Arial" w:eastAsia="Times New Roman" w:hAnsi="Arial" w:cs="Arial"/>
          <w:i/>
          <w:kern w:val="0"/>
          <w14:ligatures w14:val="none"/>
        </w:rPr>
        <w:t>euro</w:t>
      </w:r>
      <w:bookmarkEnd w:id="3"/>
      <w:proofErr w:type="spellEnd"/>
      <w:r w:rsidRPr="003C106F">
        <w:rPr>
          <w:rFonts w:ascii="Arial" w:eastAsia="Times New Roman" w:hAnsi="Arial" w:cs="Arial"/>
          <w:i/>
          <w:kern w:val="0"/>
          <w14:ligatures w14:val="none"/>
        </w:rPr>
        <w:t xml:space="preserve"> </w:t>
      </w:r>
      <w:r w:rsidRPr="003C106F">
        <w:rPr>
          <w:rFonts w:ascii="Arial" w:eastAsia="Times New Roman" w:hAnsi="Arial" w:cs="Arial"/>
          <w:iCs/>
          <w:kern w:val="0"/>
          <w14:ligatures w14:val="none"/>
        </w:rPr>
        <w:t xml:space="preserve">00 centi) apmērā atbilstoši Noteikumu 4.3.punktam; </w:t>
      </w:r>
    </w:p>
    <w:p w14:paraId="74842B45"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veic Pirkuma nodrošinājuma samaksu no Izsoles objekta Sākuma cenas. </w:t>
      </w:r>
    </w:p>
    <w:p w14:paraId="0D7CF154"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Izsoles dalībnieks Pirkuma nodrošinājumu un Rīkotāja dalības maksu iemaksā norēķinu kontā ar šādiem rekvizītiem: </w:t>
      </w:r>
    </w:p>
    <w:p w14:paraId="0D42CF5A" w14:textId="77777777" w:rsidR="003C106F" w:rsidRPr="003C106F" w:rsidRDefault="003C106F"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Valsts akciju sabiedrība “Latvijas Pasts”, vienotais reģistrācijas Nr.40003052790, AS </w:t>
      </w:r>
      <w:r w:rsidRPr="003C106F">
        <w:rPr>
          <w:rFonts w:ascii="Arial" w:eastAsia="Times New Roman" w:hAnsi="Arial" w:cs="Arial"/>
          <w:b/>
          <w:bCs/>
          <w:iCs/>
          <w:kern w:val="0"/>
          <w14:ligatures w14:val="none"/>
        </w:rPr>
        <w:t>“Citadele banka”, konta Nr.LV39PARX0000828130001</w:t>
      </w:r>
      <w:r w:rsidRPr="003C106F">
        <w:rPr>
          <w:rFonts w:ascii="Arial" w:eastAsia="Times New Roman" w:hAnsi="Arial" w:cs="Arial"/>
          <w:iCs/>
          <w:kern w:val="0"/>
          <w14:ligatures w14:val="none"/>
        </w:rPr>
        <w:t>, SWIFT kods PARXLV2X, norādot iemaksas mērķi:</w:t>
      </w:r>
    </w:p>
    <w:p w14:paraId="57196D23"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Rīkotāja dalības maksa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057CAF76"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lastRenderedPageBreak/>
        <w:t>Nodrošinājums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1B63E9E2"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Izsoles dalībniekiem netiek atmaksāta, izņemot Izsoles noteikumos paredzētajos gadījumos.</w:t>
      </w:r>
    </w:p>
    <w:p w14:paraId="6310366D"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 xml:space="preserve">Nodrošinājumu, ko iemaksājis Izsoles uzvarētājs, ieskaita pirkuma maksā. </w:t>
      </w:r>
      <w:r w:rsidRPr="003C106F">
        <w:rPr>
          <w:rFonts w:ascii="Arial" w:eastAsia="Times New Roman" w:hAnsi="Arial" w:cs="Arial"/>
          <w:kern w:val="0"/>
          <w14:ligatures w14:val="none"/>
        </w:rPr>
        <w:t>Izsoles dalībniekiem, kuri piedalījušies izsolē, bet nav nosolījuši izsoles Objektu, 10 (desmit) dienu laikā no izsoles noslēguma dienas Pirkuma nodrošinājums tiek atmaksāts – Izsoles dalībnieka kontā, no kura summa saņemta.</w:t>
      </w:r>
      <w:r w:rsidRPr="003C106F">
        <w:rPr>
          <w:rFonts w:ascii="Arial" w:eastAsia="Times New Roman" w:hAnsi="Arial" w:cs="Arial"/>
          <w:iCs/>
          <w:kern w:val="0"/>
          <w14:ligatures w14:val="none"/>
        </w:rPr>
        <w:t xml:space="preserve"> </w:t>
      </w:r>
    </w:p>
    <w:p w14:paraId="0004DDB3" w14:textId="77777777" w:rsidR="003C106F" w:rsidRPr="003C106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norise</w:t>
      </w:r>
    </w:p>
    <w:p w14:paraId="55854C1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iCs/>
          <w:kern w:val="0"/>
          <w14:ligatures w14:val="none"/>
        </w:rPr>
        <w:t>Izsoles procesa norisi reglamentē Tiesu administrācijas elektroniskās izsoļu vietnes</w:t>
      </w:r>
      <w:r w:rsidRPr="003C106F">
        <w:rPr>
          <w:rFonts w:ascii="Arial" w:eastAsia="Times New Roman" w:hAnsi="Arial" w:cs="Arial"/>
          <w:kern w:val="0"/>
          <w14:ligatures w14:val="none"/>
        </w:rPr>
        <w:t xml:space="preserve"> (</w:t>
      </w:r>
      <w:hyperlink r:id="rId17"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kern w:val="0"/>
          <w14:ligatures w14:val="none"/>
        </w:rPr>
        <w:t>) noteikumi.</w:t>
      </w:r>
    </w:p>
    <w:p w14:paraId="75C4C8A6" w14:textId="77777777" w:rsidR="003C106F" w:rsidRPr="003C106F" w:rsidRDefault="003C106F" w:rsidP="003C106F">
      <w:pPr>
        <w:numPr>
          <w:ilvl w:val="1"/>
          <w:numId w:val="1"/>
        </w:numPr>
        <w:tabs>
          <w:tab w:val="num" w:pos="567"/>
        </w:tabs>
        <w:spacing w:after="0" w:line="276" w:lineRule="auto"/>
        <w:ind w:left="567" w:hanging="567"/>
        <w:contextualSpacing/>
        <w:jc w:val="both"/>
        <w:rPr>
          <w:rFonts w:ascii="Arial" w:eastAsia="Times New Roman" w:hAnsi="Arial" w:cs="Arial"/>
          <w:b/>
          <w:kern w:val="0"/>
          <w14:ligatures w14:val="none"/>
        </w:rPr>
      </w:pPr>
      <w:r w:rsidRPr="003C106F">
        <w:rPr>
          <w:rFonts w:ascii="Arial" w:eastAsia="Times New Roman" w:hAnsi="Arial" w:cs="Arial"/>
          <w:kern w:val="0"/>
          <w14:ligatures w14:val="none"/>
        </w:rPr>
        <w:t>Pasts nodrošina iespēju interesentiem iepazīties ar Izsoles objektu. Interesentiem pēc iepazīšanās ar Izsoles objektu klātienē, tā faktisko un tiesisko stāvokli, izvietojumu dabā, ir tiesības atteikties no reģistrēšanās dalībai izsolē. Gadījumā, ja Izsoles dalībnieks nav izmantojis tiesības iepazīties ar Izsoles objektu, Izsoles dalībnieks atsakās no jebkādu pretenziju vai prasību izvirzīšanas Pastam par Izsoles objekta trūkumiem un Pasts nepieņem tās izskatīšanai.</w:t>
      </w:r>
    </w:p>
    <w:p w14:paraId="19526E49" w14:textId="77777777" w:rsidR="003C106F" w:rsidRPr="003C106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3C106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sākumcena un solīšanas solis</w:t>
      </w:r>
    </w:p>
    <w:p w14:paraId="4525CF15" w14:textId="13058E3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w:t>
      </w:r>
      <w:r w:rsidRPr="003C106F">
        <w:rPr>
          <w:rFonts w:ascii="Arial" w:eastAsia="Times New Roman" w:hAnsi="Arial" w:cs="Arial"/>
          <w:bCs/>
          <w:kern w:val="0"/>
          <w14:ligatures w14:val="none"/>
        </w:rPr>
        <w:t xml:space="preserve">objekta Sākuma cena: </w:t>
      </w:r>
      <w:r w:rsidRPr="003C106F">
        <w:rPr>
          <w:rFonts w:ascii="Arial" w:eastAsia="Times New Roman" w:hAnsi="Arial" w:cs="Arial"/>
          <w:b/>
          <w:kern w:val="0"/>
          <w14:ligatures w14:val="none"/>
        </w:rPr>
        <w:t>1</w:t>
      </w:r>
      <w:r>
        <w:rPr>
          <w:rFonts w:ascii="Arial" w:eastAsia="Times New Roman" w:hAnsi="Arial" w:cs="Arial"/>
          <w:b/>
          <w:kern w:val="0"/>
          <w14:ligatures w14:val="none"/>
        </w:rPr>
        <w:t>40 8</w:t>
      </w:r>
      <w:r w:rsidRPr="003C106F">
        <w:rPr>
          <w:rFonts w:ascii="Arial" w:eastAsia="Times New Roman" w:hAnsi="Arial" w:cs="Arial"/>
          <w:b/>
          <w:kern w:val="0"/>
          <w14:ligatures w14:val="none"/>
        </w:rPr>
        <w:t>00.00 EUR</w:t>
      </w:r>
      <w:r w:rsidRPr="003C106F">
        <w:rPr>
          <w:rFonts w:ascii="Arial" w:eastAsia="Times New Roman" w:hAnsi="Arial" w:cs="Arial"/>
          <w:bCs/>
          <w:kern w:val="0"/>
          <w14:ligatures w14:val="none"/>
        </w:rPr>
        <w:t xml:space="preserve"> (viens simts </w:t>
      </w:r>
      <w:r>
        <w:rPr>
          <w:rFonts w:ascii="Arial" w:eastAsia="Times New Roman" w:hAnsi="Arial" w:cs="Arial"/>
          <w:bCs/>
          <w:kern w:val="0"/>
          <w14:ligatures w14:val="none"/>
        </w:rPr>
        <w:t>četr</w:t>
      </w:r>
      <w:r w:rsidRPr="003C106F">
        <w:rPr>
          <w:rFonts w:ascii="Arial" w:eastAsia="Times New Roman" w:hAnsi="Arial" w:cs="Arial"/>
          <w:bCs/>
          <w:kern w:val="0"/>
          <w14:ligatures w14:val="none"/>
        </w:rPr>
        <w:t>desmit tūkstoši</w:t>
      </w:r>
      <w:r>
        <w:rPr>
          <w:rFonts w:ascii="Arial" w:eastAsia="Times New Roman" w:hAnsi="Arial" w:cs="Arial"/>
          <w:bCs/>
          <w:kern w:val="0"/>
          <w14:ligatures w14:val="none"/>
        </w:rPr>
        <w:t xml:space="preserve"> astoņi simti</w:t>
      </w:r>
      <w:r w:rsidRPr="003C106F">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56863910"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Izsoles objekts tiek pārdots ar augšupejošu Soli.</w:t>
      </w:r>
    </w:p>
    <w:p w14:paraId="7647EBE2" w14:textId="15B7ADE4"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Soļa </w:t>
      </w:r>
      <w:r w:rsidRPr="003C106F">
        <w:rPr>
          <w:rFonts w:ascii="Arial" w:eastAsia="Times New Roman" w:hAnsi="Arial" w:cs="Arial"/>
          <w:bCs/>
          <w:kern w:val="0"/>
          <w14:ligatures w14:val="none"/>
        </w:rPr>
        <w:t xml:space="preserve">apmērs </w:t>
      </w:r>
      <w:r w:rsidRPr="003C106F">
        <w:rPr>
          <w:rFonts w:ascii="Arial" w:eastAsia="Times New Roman" w:hAnsi="Arial" w:cs="Arial"/>
          <w:b/>
          <w:kern w:val="0"/>
          <w14:ligatures w14:val="none"/>
        </w:rPr>
        <w:t>1</w:t>
      </w:r>
      <w:r>
        <w:rPr>
          <w:rFonts w:ascii="Arial" w:eastAsia="Times New Roman" w:hAnsi="Arial" w:cs="Arial"/>
          <w:b/>
          <w:kern w:val="0"/>
          <w14:ligatures w14:val="none"/>
        </w:rPr>
        <w:t>400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(viens tūkstotis </w:t>
      </w:r>
      <w:r>
        <w:rPr>
          <w:rFonts w:ascii="Arial" w:eastAsia="Times New Roman" w:hAnsi="Arial" w:cs="Arial"/>
          <w:bCs/>
          <w:kern w:val="0"/>
          <w14:ligatures w14:val="none"/>
        </w:rPr>
        <w:t>četri</w:t>
      </w:r>
      <w:r w:rsidRPr="003C106F">
        <w:rPr>
          <w:rFonts w:ascii="Arial" w:eastAsia="Times New Roman" w:hAnsi="Arial" w:cs="Arial"/>
          <w:bCs/>
          <w:kern w:val="0"/>
          <w14:ligatures w14:val="none"/>
        </w:rPr>
        <w:t xml:space="preserve"> simti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40312B79" w14:textId="77777777" w:rsidR="003C106F" w:rsidRPr="003C106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rezultātu apstiprināšana, pirkuma līguma noslēgšana</w:t>
      </w:r>
    </w:p>
    <w:p w14:paraId="547EB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norises pabeigšanas atbilstoši noteikumu 5.1.punktam un automātiski sagatavotā izsoles akta saņemšanas, Izsoles komisija 10 (desmit) darba dienu laikā pēc izsoles pieņem lēmumu par izsoles rezultātu apstiprināšanu vai izsoles atzīšanu par spēkā neesošu. </w:t>
      </w:r>
    </w:p>
    <w:p w14:paraId="1BA637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Izsoles komisija ir tiesīga piedāvāt iegūt īpašumā Izsoles objektu tam Izsoles dalībniekam, kurš solījis iepriekšējo augstāko cenu par Izsoles objektu un viņa solītā cena uzskatāma par Nosolīto cenu.</w:t>
      </w:r>
    </w:p>
    <w:p w14:paraId="52B5D3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rezultātu apstiprināšanas ar Izsoles komisijas lēmumu 10 (desmit) dienu laikā pircējs un Pasts saskaņā ar izsoles rezultātiem paraksta Izsoles objekta pirkuma </w:t>
      </w:r>
      <w:r w:rsidRPr="003C106F">
        <w:rPr>
          <w:rFonts w:ascii="Arial" w:eastAsia="Times New Roman" w:hAnsi="Arial" w:cs="Arial"/>
          <w:kern w:val="0"/>
          <w14:ligatures w14:val="none"/>
        </w:rPr>
        <w:lastRenderedPageBreak/>
        <w:t>līgumu un nomas līgumu. Ja iepriekšminētajā termiņā pircējs pirkuma līgumu un nomas līgumu neparaksta, iesniedzot vai neiesniedzot attiecīgu atteikumu vai neveic atlikušās pirkuma maksas samaksu,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p>
    <w:p w14:paraId="2489A1DB"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netiek ieskaitīta norēķinos par nosolīto Izsoles objektu.</w:t>
      </w:r>
    </w:p>
    <w:p w14:paraId="3F8C2B85"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Pasts ir tiesīgs vienpusējā kārtā izbeigt pirkuma līgumu, ja līgumu nav iespējams izpildīt tādēļ, ka līguma izpildes laikā pircējam - fiziskai personai, juridiskai personai, tās valdes vai padomes loceklim, patiesā labuma guvējam, </w:t>
      </w:r>
      <w:proofErr w:type="spellStart"/>
      <w:r w:rsidRPr="003C106F">
        <w:rPr>
          <w:rFonts w:ascii="Arial" w:eastAsia="Times New Roman" w:hAnsi="Arial" w:cs="Arial"/>
          <w:kern w:val="0"/>
          <w14:ligatures w14:val="none"/>
        </w:rPr>
        <w:t>pārstāvēttiesīgai</w:t>
      </w:r>
      <w:proofErr w:type="spellEnd"/>
      <w:r w:rsidRPr="003C106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nekustamais īpašums pāriet atpakaļ Pasta īpašumā, lietojumā un valdījumā, pircēja iemaksātais Pirkuma nodrošinājums netiek atmaksāts.</w:t>
      </w:r>
    </w:p>
    <w:p w14:paraId="7F6E6069"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īpašuma tiesības pāriet pircējam pēc to reģistrācijas zemesgrāmatā.</w:t>
      </w:r>
    </w:p>
    <w:p w14:paraId="487586D8"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Gadījumā, ja līdz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uz pircēja vārda datumam, Pasta rīcībā ir nonākusi informācija par pircēju - fizisku personu, juridisku personu, tās valdes vai padomes locekli, patiesā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 Pastam ir tiesības apturēt vai izbeigt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procesu. Šādu apstākļu iestāšanās gadījumā, Izsoles objekts pāriet atpakaļ Pasta īpašumā, lietojumā un valdījumā, iemaksātais Pirkuma nodrošinājums netiek atmaksāts.  </w:t>
      </w:r>
    </w:p>
    <w:p w14:paraId="5FC2D91E"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komisijas priekšsēdētājs vai tā deleģēts pārstāvis organizē no Pasta atkarīgās darbības īpašuma tiesību uz Izsoles objekta nostiprināšanai zemesgrāmatā uz pircēja vārda, t.sk. visu nepieciešamo dokumentu izsniegšanu pircējam, nostiprinājuma lūguma parakstīšanu un citas nepieciešamās darbības.</w:t>
      </w:r>
    </w:p>
    <w:p w14:paraId="51104D2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w:t>
      </w:r>
      <w:proofErr w:type="spellStart"/>
      <w:r w:rsidRPr="003C106F">
        <w:rPr>
          <w:rFonts w:ascii="Arial" w:eastAsia="Times New Roman" w:hAnsi="Arial" w:cs="Arial"/>
          <w:kern w:val="0"/>
          <w14:ligatures w14:val="none"/>
        </w:rPr>
        <w:t>pārreģistrāciju</w:t>
      </w:r>
      <w:proofErr w:type="spellEnd"/>
      <w:r w:rsidRPr="003C106F">
        <w:rPr>
          <w:rFonts w:ascii="Arial" w:eastAsia="Times New Roman" w:hAnsi="Arial" w:cs="Arial"/>
          <w:kern w:val="0"/>
          <w14:ligatures w14:val="none"/>
        </w:rPr>
        <w:t xml:space="preserve"> uz pircēja vārda zemesgrāmatā veic pircējs patstāvīgi par saviem līdzekļiem. Pasts izsniedz pircējam nepieciešamās pilnvaras šajā punktā noteikto darbību veikšanai.</w:t>
      </w:r>
    </w:p>
    <w:p w14:paraId="796BE724" w14:textId="77777777" w:rsidR="003C106F" w:rsidRPr="003C106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atzīšana par nenotikušu vai spēkā neesošu</w:t>
      </w:r>
    </w:p>
    <w:p w14:paraId="03E80D41"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snapToGrid w:val="0"/>
          <w:kern w:val="0"/>
          <w14:ligatures w14:val="none"/>
        </w:rPr>
        <w:t>Izsole uzskatāma par nenotikušu, ja:</w:t>
      </w:r>
    </w:p>
    <w:p w14:paraId="7851309B"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noteiktajā termiņā nav reģistrējies neviens Izsoles dalībnieks;</w:t>
      </w:r>
    </w:p>
    <w:p w14:paraId="5DC29AC6"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neviens Izsoles dalībnieks nav piekritis pirkt Izsoles objektu;</w:t>
      </w:r>
    </w:p>
    <w:p w14:paraId="0DB89080"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pircējs termiņā nenomaksā pirkuma maksu.</w:t>
      </w:r>
    </w:p>
    <w:p w14:paraId="7C8C278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Izsole uzskatāma par spēkā neesošu, ja:</w:t>
      </w:r>
    </w:p>
    <w:p w14:paraId="27D68778"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w:t>
      </w:r>
      <w:r w:rsidRPr="003C106F">
        <w:rPr>
          <w:rFonts w:ascii="Arial" w:eastAsia="Times New Roman" w:hAnsi="Arial" w:cs="Arial"/>
          <w:kern w:val="0"/>
          <w14:ligatures w14:val="none"/>
        </w:rPr>
        <w:t>zsole nav izsludināta un nav notikusi atbilstoši Izsoles noteikumiem;</w:t>
      </w:r>
    </w:p>
    <w:p w14:paraId="6C17DD6F"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kern w:val="0"/>
          <w14:ligatures w14:val="none"/>
        </w:rPr>
        <w:t>kādai personai nepamatoti nav atļauts piedalīties izsolē.</w:t>
      </w:r>
    </w:p>
    <w:p w14:paraId="6A96D92B"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lastRenderedPageBreak/>
        <w:t>Lēmumu par izsoles atzīšanu par nenotikušu pieņem Izsoles komisija.</w:t>
      </w:r>
    </w:p>
    <w:p w14:paraId="38162B8D"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spēkā neesošu pieņem Izsoles komisija pēc savas iniciatīvas, vai izskatot saņemtās Izsoles dalībnieku sūdzības.</w:t>
      </w:r>
    </w:p>
    <w:p w14:paraId="45918D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Pēc izsoles atzīšanas par nenotikušu vai spēkā neesošu Izsoles komisija 3 (trīs) darba dienu laikā no attiecīga lēmuma saņemšanas paziņo par to visiem reģistrētajiem Izsoles dalībniekiem un personai(-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kurai(-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saskaņā ar normatīvajiem aktiem vai ar Pasta noslēgtajiem līgumiem ir Izsoles objekta pirmpirkuma tiesības.</w:t>
      </w:r>
    </w:p>
    <w:p w14:paraId="7BEA5F5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Gadījumā, ja izsole tiek atzīta par nenotikušu Izsoles noteikumu 8.1.2. un 8.1.3.apakšpunktos noteiktajos gadījumos, tad nevienam no Izsoles dalībniekiem nodrošinājums netiek atmaksāts.</w:t>
      </w:r>
    </w:p>
    <w:p w14:paraId="69586BE9" w14:textId="77777777" w:rsidR="003C106F" w:rsidRPr="003C106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Fizisko personu datu apstrāde</w:t>
      </w:r>
    </w:p>
    <w:p w14:paraId="6B0158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procesā un pirkuma līguma izpildē Izsoles dalībnieka iesniegto fizisko personu datu pārzinis ir Pasts, vienotais reģistrācijas Nr. 40003052790, (turpmāk – Pārzinis).</w:t>
      </w:r>
    </w:p>
    <w:p w14:paraId="2DA92AA2"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dalībnieks, kurš iesniedz Pastam 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Ar informāciju par datu subjekta tiesībām un citu informāciju par personas datu apstrādi var iepazīties Pārziņa privātuma politikā, kas ir pieejama interneta vietnē </w:t>
      </w:r>
      <w:hyperlink r:id="rId18" w:history="1">
        <w:r w:rsidRPr="003C106F">
          <w:rPr>
            <w:rFonts w:ascii="Arial" w:eastAsia="Times New Roman" w:hAnsi="Arial" w:cs="Arial"/>
            <w:kern w:val="0"/>
            <w14:ligatures w14:val="none"/>
          </w:rPr>
          <w:t>www.pasts.lv</w:t>
        </w:r>
      </w:hyperlink>
      <w:r w:rsidRPr="003C106F">
        <w:rPr>
          <w:rFonts w:ascii="Arial" w:eastAsia="Times New Roman" w:hAnsi="Arial" w:cs="Arial"/>
          <w:kern w:val="0"/>
          <w14:ligatures w14:val="none"/>
        </w:rPr>
        <w:t xml:space="preserve"> sadaļā Privātuma politika.</w:t>
      </w:r>
    </w:p>
    <w:p w14:paraId="0A3E5FC2" w14:textId="77777777" w:rsidR="003C106F" w:rsidRPr="003C106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3C106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4" w:name="_Hlk113288803"/>
      <w:r w:rsidRPr="003C106F">
        <w:rPr>
          <w:rFonts w:ascii="Arial" w:eastAsia="Times New Roman" w:hAnsi="Arial" w:cs="Arial"/>
          <w:b/>
          <w:bCs/>
          <w:kern w:val="0"/>
          <w14:ligatures w14:val="none"/>
        </w:rPr>
        <w:t>Citi noteikumi</w:t>
      </w:r>
    </w:p>
    <w:p w14:paraId="24CE8948" w14:textId="77777777" w:rsidR="003C106F" w:rsidRPr="003C106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9" w:history="1">
        <w:r w:rsidRPr="003C106F">
          <w:rPr>
            <w:rFonts w:ascii="Arial" w:eastAsia="Times New Roman" w:hAnsi="Arial" w:cs="Arial"/>
            <w:color w:val="0000FF"/>
            <w:kern w:val="0"/>
            <w:u w:val="single"/>
            <w14:ligatures w14:val="none"/>
          </w:rPr>
          <w:t>https://izsoles.ta.gov.lv/noteikumi/1</w:t>
        </w:r>
      </w:hyperlink>
      <w:r w:rsidRPr="003C106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3C106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Pielikumi</w:t>
      </w:r>
      <w:bookmarkEnd w:id="4"/>
      <w:r w:rsidRPr="003C106F">
        <w:rPr>
          <w:rFonts w:ascii="Arial" w:eastAsia="Times New Roman" w:hAnsi="Arial" w:cs="Arial"/>
          <w:b/>
          <w:kern w:val="0"/>
          <w14:ligatures w14:val="none"/>
        </w:rPr>
        <w:t>:</w:t>
      </w:r>
    </w:p>
    <w:p w14:paraId="451CC4DA"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Pielikums Nr.1 – Pirkuma līguma projekts;</w:t>
      </w:r>
    </w:p>
    <w:p w14:paraId="7BB8C625"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 xml:space="preserve">Pielikums Nr.2 – Nomas līguma projekts. </w:t>
      </w:r>
    </w:p>
    <w:p w14:paraId="7A96694E" w14:textId="77777777" w:rsidR="003C106F" w:rsidRPr="003C106F" w:rsidRDefault="003C106F" w:rsidP="003C106F">
      <w:pPr>
        <w:spacing w:after="0" w:line="240" w:lineRule="auto"/>
        <w:jc w:val="both"/>
        <w:rPr>
          <w:rFonts w:ascii="Arial" w:eastAsia="Times New Roman" w:hAnsi="Arial" w:cs="Times New Roman"/>
          <w:kern w:val="0"/>
          <w:sz w:val="24"/>
          <w:szCs w:val="24"/>
          <w14:ligatures w14:val="none"/>
        </w:rPr>
      </w:pPr>
    </w:p>
    <w:p w14:paraId="138905B2" w14:textId="77777777" w:rsidR="00130183" w:rsidRDefault="00130183"/>
    <w:sectPr w:rsidR="00130183" w:rsidSect="003C106F">
      <w:footerReference w:type="even" r:id="rId20"/>
      <w:foot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8A47" w14:textId="77777777" w:rsidR="00E41BA8" w:rsidRDefault="00E41BA8">
      <w:pPr>
        <w:spacing w:after="0" w:line="240" w:lineRule="auto"/>
      </w:pPr>
      <w:r>
        <w:separator/>
      </w:r>
    </w:p>
  </w:endnote>
  <w:endnote w:type="continuationSeparator" w:id="0">
    <w:p w14:paraId="011C6720" w14:textId="77777777" w:rsidR="00E41BA8" w:rsidRDefault="00E4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D34EE" w14:textId="77777777" w:rsidR="003C106F" w:rsidRDefault="003C106F" w:rsidP="007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Footer"/>
      <w:framePr w:wrap="around" w:vAnchor="text" w:hAnchor="margin" w:xAlign="right" w:y="1"/>
      <w:rPr>
        <w:rStyle w:val="PageNumber"/>
        <w:rFonts w:eastAsiaTheme="majorEastAsia"/>
        <w:sz w:val="18"/>
        <w:szCs w:val="18"/>
      </w:rPr>
    </w:pPr>
    <w:r w:rsidRPr="00213BCC">
      <w:rPr>
        <w:rStyle w:val="PageNumber"/>
        <w:rFonts w:eastAsiaTheme="majorEastAsia"/>
        <w:sz w:val="18"/>
        <w:szCs w:val="18"/>
      </w:rPr>
      <w:fldChar w:fldCharType="begin"/>
    </w:r>
    <w:r w:rsidRPr="00213BCC">
      <w:rPr>
        <w:rStyle w:val="PageNumber"/>
        <w:rFonts w:eastAsiaTheme="majorEastAsia"/>
        <w:sz w:val="18"/>
        <w:szCs w:val="18"/>
      </w:rPr>
      <w:instrText xml:space="preserve">PAGE  </w:instrText>
    </w:r>
    <w:r w:rsidRPr="00213BCC">
      <w:rPr>
        <w:rStyle w:val="PageNumber"/>
        <w:rFonts w:eastAsiaTheme="majorEastAsia"/>
        <w:sz w:val="18"/>
        <w:szCs w:val="18"/>
      </w:rPr>
      <w:fldChar w:fldCharType="separate"/>
    </w:r>
    <w:r w:rsidRPr="00213BCC">
      <w:rPr>
        <w:rStyle w:val="PageNumber"/>
        <w:rFonts w:eastAsiaTheme="majorEastAsia"/>
        <w:noProof/>
        <w:sz w:val="18"/>
        <w:szCs w:val="18"/>
      </w:rPr>
      <w:t>4</w:t>
    </w:r>
    <w:r w:rsidRPr="00213BCC">
      <w:rPr>
        <w:rStyle w:val="PageNumber"/>
        <w:rFonts w:eastAsiaTheme="majorEastAsia"/>
        <w:sz w:val="18"/>
        <w:szCs w:val="18"/>
      </w:rPr>
      <w:fldChar w:fldCharType="end"/>
    </w:r>
  </w:p>
  <w:p w14:paraId="7614AC22" w14:textId="77777777" w:rsidR="003C106F" w:rsidRPr="008152C9" w:rsidRDefault="003C106F" w:rsidP="00767C8A">
    <w:pPr>
      <w:pStyle w:val="Footer"/>
      <w:ind w:right="360"/>
      <w:jc w:val="center"/>
    </w:pPr>
  </w:p>
  <w:p w14:paraId="121C7D41" w14:textId="77777777" w:rsidR="003C106F" w:rsidRDefault="003C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8884" w14:textId="77777777" w:rsidR="00E41BA8" w:rsidRDefault="00E41BA8">
      <w:pPr>
        <w:spacing w:after="0" w:line="240" w:lineRule="auto"/>
      </w:pPr>
      <w:r>
        <w:separator/>
      </w:r>
    </w:p>
  </w:footnote>
  <w:footnote w:type="continuationSeparator" w:id="0">
    <w:p w14:paraId="514D8D63" w14:textId="77777777" w:rsidR="00E41BA8" w:rsidRDefault="00E41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130183"/>
    <w:rsid w:val="001D3DD0"/>
    <w:rsid w:val="003C106F"/>
    <w:rsid w:val="00A51A4C"/>
    <w:rsid w:val="00E41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F"/>
    <w:rPr>
      <w:rFonts w:eastAsiaTheme="majorEastAsia" w:cstheme="majorBidi"/>
      <w:color w:val="272727" w:themeColor="text1" w:themeTint="D8"/>
    </w:rPr>
  </w:style>
  <w:style w:type="paragraph" w:styleId="Title">
    <w:name w:val="Title"/>
    <w:basedOn w:val="Normal"/>
    <w:next w:val="Normal"/>
    <w:link w:val="TitleChar"/>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F"/>
    <w:rPr>
      <w:i/>
      <w:iCs/>
      <w:color w:val="404040" w:themeColor="text1" w:themeTint="BF"/>
    </w:rPr>
  </w:style>
  <w:style w:type="paragraph" w:styleId="ListParagraph">
    <w:name w:val="List Paragraph"/>
    <w:basedOn w:val="Normal"/>
    <w:uiPriority w:val="34"/>
    <w:qFormat/>
    <w:rsid w:val="003C106F"/>
    <w:pPr>
      <w:ind w:left="720"/>
      <w:contextualSpacing/>
    </w:pPr>
  </w:style>
  <w:style w:type="character" w:styleId="IntenseEmphasis">
    <w:name w:val="Intense Emphasis"/>
    <w:basedOn w:val="DefaultParagraphFont"/>
    <w:uiPriority w:val="21"/>
    <w:qFormat/>
    <w:rsid w:val="003C106F"/>
    <w:rPr>
      <w:i/>
      <w:iCs/>
      <w:color w:val="0F4761" w:themeColor="accent1" w:themeShade="BF"/>
    </w:rPr>
  </w:style>
  <w:style w:type="paragraph" w:styleId="IntenseQuote">
    <w:name w:val="Intense Quote"/>
    <w:basedOn w:val="Normal"/>
    <w:next w:val="Normal"/>
    <w:link w:val="IntenseQuoteChar"/>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F"/>
    <w:rPr>
      <w:i/>
      <w:iCs/>
      <w:color w:val="0F4761" w:themeColor="accent1" w:themeShade="BF"/>
    </w:rPr>
  </w:style>
  <w:style w:type="character" w:styleId="IntenseReference">
    <w:name w:val="Intense Reference"/>
    <w:basedOn w:val="DefaultParagraphFont"/>
    <w:uiPriority w:val="32"/>
    <w:qFormat/>
    <w:rsid w:val="003C106F"/>
    <w:rPr>
      <w:b/>
      <w:bCs/>
      <w:smallCaps/>
      <w:color w:val="0F4761" w:themeColor="accent1" w:themeShade="BF"/>
      <w:spacing w:val="5"/>
    </w:rPr>
  </w:style>
  <w:style w:type="paragraph" w:styleId="Footer">
    <w:name w:val="footer"/>
    <w:basedOn w:val="Normal"/>
    <w:link w:val="FooterChar"/>
    <w:uiPriority w:val="99"/>
    <w:semiHidden/>
    <w:unhideWhenUsed/>
    <w:rsid w:val="003C106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C106F"/>
  </w:style>
  <w:style w:type="character" w:styleId="PageNumber">
    <w:name w:val="page number"/>
    <w:basedOn w:val="DefaultParagraphFont"/>
    <w:rsid w:val="003C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5BC.F8C712D0" TargetMode="External"/><Relationship Id="rId13" Type="http://schemas.openxmlformats.org/officeDocument/2006/relationships/hyperlink" Target="https://izsoles.ta.gov.lv" TargetMode="External"/><Relationship Id="rId18" Type="http://schemas.openxmlformats.org/officeDocument/2006/relationships/hyperlink" Target="http://www.pasts.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23" Type="http://schemas.openxmlformats.org/officeDocument/2006/relationships/theme" Target="theme/theme1.xml"/><Relationship Id="rId10" Type="http://schemas.openxmlformats.org/officeDocument/2006/relationships/hyperlink" Target="http://www.pasts.lv" TargetMode="External"/><Relationship Id="rId19"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mailto:izsoles@past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9841</Words>
  <Characters>5610</Characters>
  <Application>Microsoft Office Word</Application>
  <DocSecurity>0</DocSecurity>
  <Lines>46</Lines>
  <Paragraphs>30</Paragraphs>
  <ScaleCrop>false</ScaleCrop>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Kristaps Auziņš</cp:lastModifiedBy>
  <cp:revision>2</cp:revision>
  <dcterms:created xsi:type="dcterms:W3CDTF">2025-10-20T10:29:00Z</dcterms:created>
  <dcterms:modified xsi:type="dcterms:W3CDTF">2025-10-20T10:29:00Z</dcterms:modified>
</cp:coreProperties>
</file>