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6B96F188" w:rsidR="00735DF1" w:rsidRPr="005978C1" w:rsidRDefault="00733719" w:rsidP="00735DF1">
      <w:pPr>
        <w:jc w:val="right"/>
        <w:rPr>
          <w:sz w:val="22"/>
          <w:szCs w:val="22"/>
        </w:rPr>
      </w:pPr>
      <w:r>
        <w:rPr>
          <w:sz w:val="22"/>
          <w:szCs w:val="22"/>
        </w:rPr>
        <w:t>Ziemeļlatgales</w:t>
      </w:r>
      <w:r w:rsidR="00735DF1" w:rsidRPr="005978C1">
        <w:rPr>
          <w:sz w:val="22"/>
          <w:szCs w:val="22"/>
        </w:rPr>
        <w:t xml:space="preserve">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6BA0FC8F" w14:textId="342F7310" w:rsidR="00735DF1" w:rsidRDefault="00735DF1" w:rsidP="00733719">
      <w:pPr>
        <w:pStyle w:val="Subtitle"/>
        <w:jc w:val="center"/>
        <w:outlineLvl w:val="0"/>
        <w:rPr>
          <w:sz w:val="32"/>
          <w:szCs w:val="32"/>
          <w:lang w:val="lv-LV"/>
        </w:rPr>
      </w:pPr>
      <w:r>
        <w:rPr>
          <w:sz w:val="32"/>
          <w:szCs w:val="32"/>
          <w:lang w:val="lv-LV"/>
        </w:rPr>
        <w:t>“</w:t>
      </w:r>
      <w:r w:rsidR="00733719" w:rsidRPr="00733719">
        <w:rPr>
          <w:sz w:val="32"/>
          <w:szCs w:val="32"/>
          <w:lang w:val="lv-LV"/>
        </w:rPr>
        <w:t>Par medību tiesību nomas tiesību piešķiršanu Ziemeļlatgales reģiona Žīguru iecirkņa kvartālu apgabala Nr. 804, kvartālos Nr. 1 - 49; 52 - 60; 81 - 85; 112 - 116; 162 - 167; 510; 511; 544 (kopā 3884,75 ha apjomā)</w:t>
      </w:r>
      <w:r>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1428B47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 Lindes </w:t>
      </w:r>
      <w:r w:rsidR="00733719" w:rsidRPr="00E82F98">
        <w:rPr>
          <w:sz w:val="22"/>
          <w:szCs w:val="22"/>
        </w:rPr>
        <w:t>03.05.2025. rīkojumu Nr. 3.1-5_002w_220_25_22</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6DD14738"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733719" w:rsidRPr="00733719">
        <w:rPr>
          <w:rStyle w:val="Hyperlink"/>
          <w:b w:val="0"/>
          <w:color w:val="auto"/>
          <w:sz w:val="22"/>
          <w:szCs w:val="22"/>
          <w:u w:val="none"/>
          <w:lang w:val="lv-LV"/>
        </w:rPr>
        <w:t xml:space="preserve">Ziemeļlatgales  reģiona mežkopības vadītāju Normundu </w:t>
      </w:r>
      <w:proofErr w:type="spellStart"/>
      <w:r w:rsidR="00733719" w:rsidRPr="00733719">
        <w:rPr>
          <w:rStyle w:val="Hyperlink"/>
          <w:b w:val="0"/>
          <w:color w:val="auto"/>
          <w:sz w:val="22"/>
          <w:szCs w:val="22"/>
          <w:u w:val="none"/>
          <w:lang w:val="lv-LV"/>
        </w:rPr>
        <w:t>Boktu</w:t>
      </w:r>
      <w:proofErr w:type="spellEnd"/>
      <w:r w:rsidR="00733719" w:rsidRPr="00733719">
        <w:rPr>
          <w:rStyle w:val="Hyperlink"/>
          <w:b w:val="0"/>
          <w:color w:val="auto"/>
          <w:sz w:val="22"/>
          <w:szCs w:val="22"/>
          <w:u w:val="none"/>
          <w:lang w:val="lv-LV"/>
        </w:rPr>
        <w:t xml:space="preserve">, tālr. 29181971, elektroniskā pasta adrese: </w:t>
      </w:r>
      <w:hyperlink r:id="rId8" w:history="1">
        <w:r w:rsidR="00733719" w:rsidRPr="004D1004">
          <w:rPr>
            <w:rStyle w:val="Hyperlink"/>
            <w:b w:val="0"/>
            <w:sz w:val="22"/>
            <w:szCs w:val="22"/>
            <w:lang w:val="lv-LV"/>
          </w:rPr>
          <w:t>n.bokta@lvm.lv</w:t>
        </w:r>
      </w:hyperlink>
      <w:r w:rsidR="00733719">
        <w:rPr>
          <w:rStyle w:val="Hyperlink"/>
          <w:b w:val="0"/>
          <w:color w:val="auto"/>
          <w:sz w:val="22"/>
          <w:szCs w:val="22"/>
          <w:u w:val="none"/>
          <w:lang w:val="lv-LV"/>
        </w:rPr>
        <w:t>.</w:t>
      </w:r>
    </w:p>
    <w:p w14:paraId="7995AC87" w14:textId="59826E0F"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0C77B4">
        <w:rPr>
          <w:b w:val="0"/>
          <w:bCs w:val="0"/>
        </w:rPr>
        <w:t>un</w:t>
      </w:r>
      <w:r w:rsidR="000C77B4">
        <w:t xml:space="preserve"> </w:t>
      </w:r>
      <w:r w:rsidR="000C77B4" w:rsidRPr="00FF49C9">
        <w:rPr>
          <w:rStyle w:val="Hyperlink"/>
          <w:b w:val="0"/>
          <w:color w:val="auto"/>
          <w:sz w:val="22"/>
          <w:szCs w:val="22"/>
          <w:u w:val="none"/>
          <w:lang w:val="lv-LV"/>
        </w:rPr>
        <w:t>un 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7EFD435A"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 xml:space="preserve">atrodas </w:t>
      </w:r>
      <w:r w:rsidR="00733719" w:rsidRPr="00733719">
        <w:rPr>
          <w:rFonts w:eastAsiaTheme="minorHAnsi"/>
          <w:b w:val="0"/>
          <w:bCs w:val="0"/>
          <w:sz w:val="22"/>
          <w:szCs w:val="22"/>
          <w:lang w:val="lv-LV"/>
        </w:rPr>
        <w:t xml:space="preserve">Ziemeļlatgales reģiona Žīguru iecirkņa kvartālu apgabala Nr. 804, kvartālos Nr. </w:t>
      </w:r>
      <w:r w:rsidR="00733719" w:rsidRPr="00733719">
        <w:rPr>
          <w:rFonts w:eastAsiaTheme="minorHAnsi"/>
          <w:b w:val="0"/>
          <w:bCs w:val="0"/>
          <w:sz w:val="22"/>
          <w:szCs w:val="22"/>
        </w:rPr>
        <w:t>1 - 49; 52 - 60; 81 - 85; 112 - 116; 162 - 167; 510; 511; 544</w:t>
      </w:r>
      <w:r w:rsidR="00733719" w:rsidRPr="00733719">
        <w:rPr>
          <w:rFonts w:eastAsiaTheme="minorHAnsi"/>
          <w:b w:val="0"/>
          <w:bCs w:val="0"/>
          <w:sz w:val="22"/>
          <w:szCs w:val="22"/>
          <w:lang w:val="lv-LV"/>
        </w:rPr>
        <w:t xml:space="preserve">, kopā </w:t>
      </w:r>
      <w:r w:rsidR="00733719" w:rsidRPr="00733719">
        <w:rPr>
          <w:rFonts w:eastAsiaTheme="minorHAnsi"/>
          <w:b w:val="0"/>
          <w:bCs w:val="0"/>
          <w:sz w:val="22"/>
          <w:szCs w:val="22"/>
        </w:rPr>
        <w:t xml:space="preserve">3884,75 </w:t>
      </w:r>
      <w:r w:rsidR="00733719" w:rsidRPr="00733719">
        <w:rPr>
          <w:rFonts w:eastAsiaTheme="minorHAnsi"/>
          <w:b w:val="0"/>
          <w:bCs w:val="0"/>
          <w:sz w:val="22"/>
          <w:szCs w:val="22"/>
          <w:lang w:val="lv-LV"/>
        </w:rPr>
        <w:t>ha platībā, Alūksnes novada Liepnas pagasta teritorijā un Balvu novada Žīguru pagasta teritorijā</w:t>
      </w:r>
      <w:r w:rsidRPr="00733719">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A3DF4CA"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733719">
        <w:rPr>
          <w:bCs w:val="0"/>
          <w:sz w:val="22"/>
          <w:szCs w:val="22"/>
          <w:lang w:val="lv-LV"/>
        </w:rPr>
        <w:t>1650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733719" w:rsidRPr="00733719">
        <w:rPr>
          <w:b w:val="0"/>
          <w:bCs w:val="0"/>
          <w:sz w:val="22"/>
          <w:szCs w:val="22"/>
          <w:lang w:val="lv-LV"/>
        </w:rPr>
        <w:t>viens tūkstotis seši simti piecdesmit</w:t>
      </w:r>
      <w:r w:rsidRPr="00733719">
        <w:rPr>
          <w:b w:val="0"/>
          <w:sz w:val="22"/>
          <w:szCs w:val="22"/>
          <w:lang w:val="lv-LV"/>
        </w:rPr>
        <w:t xml:space="preserve"> </w:t>
      </w:r>
      <w:proofErr w:type="spellStart"/>
      <w:r w:rsidRPr="00733719">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lastRenderedPageBreak/>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49E9BFEE"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733719">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lastRenderedPageBreak/>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 xml:space="preserve">Komisija </w:t>
      </w:r>
      <w:proofErr w:type="spellStart"/>
      <w:r>
        <w:rPr>
          <w:b w:val="0"/>
          <w:bCs w:val="0"/>
          <w:sz w:val="22"/>
          <w:szCs w:val="22"/>
          <w:lang w:val="lv-LV"/>
        </w:rPr>
        <w:t>nosūta</w:t>
      </w:r>
      <w:proofErr w:type="spellEnd"/>
      <w:r>
        <w:rPr>
          <w:b w:val="0"/>
          <w:bCs w:val="0"/>
          <w:sz w:val="22"/>
          <w:szCs w:val="22"/>
          <w:lang w:val="lv-LV"/>
        </w:rPr>
        <w:t xml:space="preserve"> Nosolītājam</w:t>
      </w:r>
      <w:r>
        <w:rPr>
          <w:b w:val="0"/>
          <w:sz w:val="22"/>
          <w:szCs w:val="22"/>
          <w:lang w:val="lv-LV"/>
        </w:rPr>
        <w:t xml:space="preserve">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nosolītās cenas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719"/>
    <w:rsid w:val="00733FBD"/>
    <w:rsid w:val="00735D4F"/>
    <w:rsid w:val="00735DF1"/>
    <w:rsid w:val="007422C8"/>
    <w:rsid w:val="00743F34"/>
    <w:rsid w:val="00744036"/>
    <w:rsid w:val="007444CF"/>
    <w:rsid w:val="00745294"/>
    <w:rsid w:val="00746E65"/>
    <w:rsid w:val="00747ACB"/>
    <w:rsid w:val="00752768"/>
    <w:rsid w:val="00753326"/>
    <w:rsid w:val="00754055"/>
    <w:rsid w:val="00754694"/>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okta@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2265</Words>
  <Characters>16083</Characters>
  <Application>Microsoft Office Word</Application>
  <DocSecurity>0</DocSecurity>
  <Lines>134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18312</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24</cp:revision>
  <cp:lastPrinted>2019-05-09T11:40:00Z</cp:lastPrinted>
  <dcterms:created xsi:type="dcterms:W3CDTF">2025-03-13T06:42:00Z</dcterms:created>
  <dcterms:modified xsi:type="dcterms:W3CDTF">2025-05-19T07:17:00Z</dcterms:modified>
  <cp:contentStatus/>
</cp:coreProperties>
</file>