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49B60" w14:textId="77777777" w:rsidR="00037069" w:rsidRDefault="00037069" w:rsidP="003565A9">
      <w:pPr>
        <w:spacing w:after="0" w:line="240" w:lineRule="auto"/>
        <w:jc w:val="right"/>
        <w:rPr>
          <w:rFonts w:ascii="Times New Roman" w:eastAsia="Times New Roman" w:hAnsi="Times New Roman" w:cs="Times New Roman"/>
          <w:b/>
          <w:sz w:val="24"/>
          <w:szCs w:val="24"/>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31AAC5F0" w:rsidR="00AF26CD" w:rsidRPr="00AF26CD" w:rsidRDefault="00E46B29"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PARKA IELA 13, ALOJĀ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54F55B92" w:rsidR="00AF26CD" w:rsidRPr="00AF26CD" w:rsidRDefault="00631E7B"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Pr>
          <w:rFonts w:ascii="Times New Roman" w:eastAsia="Arial Unicode MS" w:hAnsi="Times New Roman" w:cs="Tahoma"/>
          <w:caps/>
          <w:kern w:val="1"/>
          <w:sz w:val="28"/>
          <w:szCs w:val="28"/>
          <w:lang w:bidi="hi-IN"/>
        </w:rPr>
        <w:t>OTRĀS</w:t>
      </w:r>
      <w:r w:rsidR="00AF26CD" w:rsidRPr="00AF26CD">
        <w:rPr>
          <w:rFonts w:ascii="Times New Roman" w:eastAsia="Arial Unicode MS" w:hAnsi="Times New Roman" w:cs="Tahoma"/>
          <w:caps/>
          <w:kern w:val="1"/>
          <w:sz w:val="28"/>
          <w:szCs w:val="28"/>
          <w:lang w:bidi="hi-IN"/>
        </w:rPr>
        <w:t xml:space="preserve">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25E936DC" w:rsidR="00AF26CD" w:rsidRPr="00AF26CD"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īpašums </w:t>
      </w:r>
      <w:r w:rsidR="00E46B29" w:rsidRPr="00E46B29">
        <w:rPr>
          <w:rFonts w:ascii="Times New Roman" w:eastAsia="Calibri" w:hAnsi="Times New Roman" w:cs="Times New Roman"/>
          <w:kern w:val="1"/>
          <w:sz w:val="24"/>
          <w:szCs w:val="24"/>
          <w:lang w:bidi="hi-IN"/>
        </w:rPr>
        <w:t>Parka iela 13, Alojā, Limbažu novadā, kadastra numurs: 6607 001 0175, kas sastāv no vienas zemes vienības ar kadastra apzīmējumu: 6607 001 0175, 11800 m</w:t>
      </w:r>
      <w:r w:rsidR="00E46B29" w:rsidRPr="00E46B29">
        <w:rPr>
          <w:rFonts w:ascii="Times New Roman" w:eastAsia="Calibri" w:hAnsi="Times New Roman" w:cs="Times New Roman"/>
          <w:kern w:val="1"/>
          <w:sz w:val="24"/>
          <w:szCs w:val="24"/>
          <w:vertAlign w:val="superscript"/>
          <w:lang w:bidi="hi-IN"/>
        </w:rPr>
        <w:t>2</w:t>
      </w:r>
      <w:r w:rsidR="00E46B29" w:rsidRPr="00E46B29">
        <w:rPr>
          <w:rFonts w:ascii="Times New Roman" w:eastAsia="Calibri" w:hAnsi="Times New Roman" w:cs="Times New Roman"/>
          <w:kern w:val="1"/>
          <w:sz w:val="24"/>
          <w:szCs w:val="24"/>
          <w:lang w:bidi="hi-IN"/>
        </w:rPr>
        <w:t xml:space="preserve"> </w:t>
      </w:r>
      <w:bookmarkStart w:id="0" w:name="_GoBack"/>
      <w:bookmarkEnd w:id="0"/>
      <w:r w:rsidR="00E46B29" w:rsidRPr="00E46B29">
        <w:rPr>
          <w:rFonts w:ascii="Times New Roman" w:eastAsia="Calibri" w:hAnsi="Times New Roman" w:cs="Times New Roman"/>
          <w:kern w:val="1"/>
          <w:sz w:val="24"/>
          <w:szCs w:val="24"/>
          <w:lang w:bidi="hi-IN"/>
        </w:rPr>
        <w:t xml:space="preserve"> platībā un ēkām ar kadastra apzīmējumiem: 6607001 0175 001, 6607 001 0175 002, 6607 001 0175 009, 6607 001 0175 012 un 6607 001 0175 013, </w:t>
      </w:r>
      <w:r w:rsidRPr="00AF26CD">
        <w:rPr>
          <w:rFonts w:ascii="Times New Roman" w:eastAsia="Arial Unicode MS" w:hAnsi="Times New Roman" w:cs="Tahoma"/>
          <w:kern w:val="1"/>
          <w:sz w:val="24"/>
          <w:szCs w:val="24"/>
          <w:lang w:bidi="hi-IN"/>
        </w:rPr>
        <w:t xml:space="preserve">turpmāk – IZSOLES OBJEKTS. </w:t>
      </w:r>
    </w:p>
    <w:p w14:paraId="0D431FF4" w14:textId="77777777" w:rsidR="00E46B29" w:rsidRPr="00E46B29"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DD4303">
        <w:rPr>
          <w:rFonts w:ascii="Times New Roman" w:eastAsia="Arial Unicode MS" w:hAnsi="Times New Roman" w:cs="Tahoma"/>
          <w:bCs/>
          <w:kern w:val="1"/>
          <w:sz w:val="24"/>
          <w:szCs w:val="24"/>
          <w:lang w:bidi="hi-IN"/>
        </w:rPr>
        <w:t>Alojas</w:t>
      </w:r>
      <w:r w:rsidR="009158C0">
        <w:rPr>
          <w:rFonts w:ascii="Times New Roman" w:eastAsia="Arial Unicode MS" w:hAnsi="Times New Roman" w:cs="Tahoma"/>
          <w:bCs/>
          <w:kern w:val="1"/>
          <w:sz w:val="24"/>
          <w:szCs w:val="24"/>
          <w:lang w:bidi="hi-IN"/>
        </w:rPr>
        <w:t xml:space="preserve"> </w:t>
      </w:r>
      <w:r w:rsidR="00E46B29">
        <w:rPr>
          <w:rFonts w:ascii="Times New Roman" w:eastAsia="Arial Unicode MS" w:hAnsi="Times New Roman" w:cs="Tahoma"/>
          <w:bCs/>
          <w:kern w:val="1"/>
          <w:sz w:val="24"/>
          <w:szCs w:val="24"/>
          <w:lang w:bidi="hi-IN"/>
        </w:rPr>
        <w:t>pilsētas</w:t>
      </w:r>
      <w:r w:rsidRPr="00AF26CD">
        <w:rPr>
          <w:rFonts w:ascii="Times New Roman" w:eastAsia="Arial Unicode MS" w:hAnsi="Times New Roman" w:cs="Tahoma"/>
          <w:bCs/>
          <w:kern w:val="1"/>
          <w:sz w:val="24"/>
          <w:szCs w:val="24"/>
          <w:lang w:bidi="hi-IN"/>
        </w:rPr>
        <w:t xml:space="preserve"> zemesgrāmatas nodalījumā Nr. 100000</w:t>
      </w:r>
      <w:r w:rsidR="00E46B29">
        <w:rPr>
          <w:rFonts w:ascii="Times New Roman" w:eastAsia="Arial Unicode MS" w:hAnsi="Times New Roman" w:cs="Tahoma"/>
          <w:bCs/>
          <w:kern w:val="1"/>
          <w:sz w:val="24"/>
          <w:szCs w:val="24"/>
          <w:lang w:bidi="hi-IN"/>
        </w:rPr>
        <w:t>198442</w:t>
      </w:r>
      <w:r w:rsidRPr="00AF26CD">
        <w:rPr>
          <w:rFonts w:ascii="Times New Roman" w:eastAsia="Arial Unicode MS" w:hAnsi="Times New Roman" w:cs="Tahoma"/>
          <w:bCs/>
          <w:kern w:val="1"/>
          <w:sz w:val="24"/>
          <w:szCs w:val="24"/>
          <w:lang w:bidi="hi-IN"/>
        </w:rPr>
        <w:t xml:space="preserve">. </w:t>
      </w:r>
    </w:p>
    <w:p w14:paraId="240FE32E" w14:textId="1BA2B10A" w:rsidR="00AF26CD" w:rsidRPr="00EA7AF6"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 xml:space="preserve">Saskaņā ar Alojas novada pašvaldības izstrādāto un apstiprināto Alojas novada teritorijas plānojumu 2013.-2024.gadam </w:t>
      </w:r>
      <w:r w:rsidR="00E46B29">
        <w:rPr>
          <w:rFonts w:ascii="Times New Roman" w:hAnsi="Times New Roman" w:cs="Times New Roman"/>
          <w:sz w:val="24"/>
          <w:szCs w:val="24"/>
        </w:rPr>
        <w:t>publiskās apbūves teritorija</w:t>
      </w:r>
      <w:r w:rsidR="009B286F">
        <w:rPr>
          <w:rFonts w:ascii="Times New Roman" w:hAnsi="Times New Roman" w:cs="Times New Roman"/>
          <w:sz w:val="24"/>
          <w:szCs w:val="24"/>
        </w:rPr>
        <w:t>.</w:t>
      </w:r>
    </w:p>
    <w:p w14:paraId="240FE32F" w14:textId="61CDF84C" w:rsidR="00AF26CD" w:rsidRPr="00AF26CD"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EUR </w:t>
      </w:r>
      <w:r w:rsidR="00631E7B">
        <w:rPr>
          <w:rFonts w:ascii="Times New Roman" w:eastAsia="Times New Roman" w:hAnsi="Times New Roman" w:cs="Times New Roman"/>
          <w:sz w:val="24"/>
          <w:szCs w:val="24"/>
          <w:lang w:eastAsia="lv-LV"/>
        </w:rPr>
        <w:t>55 52</w:t>
      </w:r>
      <w:r w:rsidRPr="00AF26CD">
        <w:rPr>
          <w:rFonts w:ascii="Times New Roman" w:eastAsia="Times New Roman" w:hAnsi="Times New Roman" w:cs="Times New Roman"/>
          <w:sz w:val="24"/>
          <w:szCs w:val="24"/>
          <w:lang w:eastAsia="lv-LV"/>
        </w:rPr>
        <w:t>0,00 (</w:t>
      </w:r>
      <w:r w:rsidR="00631E7B">
        <w:rPr>
          <w:rFonts w:ascii="Times New Roman" w:eastAsia="Times New Roman" w:hAnsi="Times New Roman" w:cs="Times New Roman"/>
          <w:sz w:val="24"/>
          <w:szCs w:val="24"/>
          <w:lang w:eastAsia="lv-LV"/>
        </w:rPr>
        <w:t>piec</w:t>
      </w:r>
      <w:r w:rsidR="00E46B29">
        <w:rPr>
          <w:rFonts w:ascii="Times New Roman" w:eastAsia="Times New Roman" w:hAnsi="Times New Roman" w:cs="Times New Roman"/>
          <w:sz w:val="24"/>
          <w:szCs w:val="24"/>
          <w:lang w:eastAsia="lv-LV"/>
        </w:rPr>
        <w:t xml:space="preserve">desmit </w:t>
      </w:r>
      <w:r w:rsidR="00631E7B">
        <w:rPr>
          <w:rFonts w:ascii="Times New Roman" w:eastAsia="Times New Roman" w:hAnsi="Times New Roman" w:cs="Times New Roman"/>
          <w:sz w:val="24"/>
          <w:szCs w:val="24"/>
          <w:lang w:eastAsia="lv-LV"/>
        </w:rPr>
        <w:t xml:space="preserve">pieci </w:t>
      </w:r>
      <w:r w:rsidRPr="00AF26CD">
        <w:rPr>
          <w:rFonts w:ascii="Times New Roman" w:eastAsia="Times New Roman" w:hAnsi="Times New Roman" w:cs="Times New Roman"/>
          <w:sz w:val="24"/>
          <w:szCs w:val="24"/>
          <w:lang w:eastAsia="lv-LV"/>
        </w:rPr>
        <w:t xml:space="preserve">tūkstoši </w:t>
      </w:r>
      <w:r w:rsidR="00631E7B">
        <w:rPr>
          <w:rFonts w:ascii="Times New Roman" w:eastAsia="Times New Roman" w:hAnsi="Times New Roman" w:cs="Times New Roman"/>
          <w:sz w:val="24"/>
          <w:szCs w:val="24"/>
          <w:lang w:eastAsia="lv-LV"/>
        </w:rPr>
        <w:t>pieci simti divdesmit</w:t>
      </w:r>
      <w:r w:rsidRPr="00AF26CD">
        <w:rPr>
          <w:rFonts w:ascii="Times New Roman" w:eastAsia="Times New Roman" w:hAnsi="Times New Roman" w:cs="Times New Roman"/>
          <w:sz w:val="24"/>
          <w:szCs w:val="24"/>
          <w:lang w:eastAsia="lv-LV"/>
        </w:rPr>
        <w:t xml:space="preserve"> </w:t>
      </w:r>
      <w:proofErr w:type="spellStart"/>
      <w:r w:rsidRPr="00AF26CD">
        <w:rPr>
          <w:rFonts w:ascii="Times New Roman" w:eastAsia="Times New Roman" w:hAnsi="Times New Roman" w:cs="Times New Roman"/>
          <w:sz w:val="24"/>
          <w:szCs w:val="24"/>
          <w:lang w:eastAsia="lv-LV"/>
        </w:rPr>
        <w:t>euro</w:t>
      </w:r>
      <w:proofErr w:type="spellEnd"/>
      <w:r w:rsidRPr="00AF26CD">
        <w:rPr>
          <w:rFonts w:ascii="Times New Roman" w:eastAsia="Times New Roman" w:hAnsi="Times New Roman" w:cs="Times New Roman"/>
          <w:sz w:val="24"/>
          <w:szCs w:val="24"/>
          <w:lang w:eastAsia="lv-LV"/>
        </w:rPr>
        <w:t>).</w:t>
      </w:r>
    </w:p>
    <w:p w14:paraId="240FE330" w14:textId="77777777" w:rsidR="00AF26CD" w:rsidRPr="00AF26CD" w:rsidRDefault="00DD4303"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Izsoles solis – EUR 5</w:t>
      </w:r>
      <w:r w:rsidR="00AF26CD" w:rsidRPr="00AF26CD">
        <w:rPr>
          <w:rFonts w:ascii="Times New Roman" w:eastAsia="Times New Roman" w:hAnsi="Times New Roman" w:cs="Times New Roman"/>
          <w:sz w:val="24"/>
          <w:szCs w:val="24"/>
          <w:lang w:eastAsia="lv-LV"/>
        </w:rPr>
        <w:t>00,00 (</w:t>
      </w:r>
      <w:r>
        <w:rPr>
          <w:rFonts w:ascii="Times New Roman" w:eastAsia="Times New Roman" w:hAnsi="Times New Roman" w:cs="Times New Roman"/>
          <w:sz w:val="24"/>
          <w:szCs w:val="24"/>
          <w:lang w:eastAsia="lv-LV"/>
        </w:rPr>
        <w:t xml:space="preserve">pieci </w:t>
      </w:r>
      <w:r w:rsidR="00AF26CD" w:rsidRPr="00AF26CD">
        <w:rPr>
          <w:rFonts w:ascii="Times New Roman" w:eastAsia="Times New Roman" w:hAnsi="Times New Roman" w:cs="Times New Roman"/>
          <w:sz w:val="24"/>
          <w:szCs w:val="24"/>
          <w:lang w:eastAsia="lv-LV"/>
        </w:rPr>
        <w:t>simt</w:t>
      </w:r>
      <w:r w:rsidR="009158C0">
        <w:rPr>
          <w:rFonts w:ascii="Times New Roman" w:eastAsia="Times New Roman" w:hAnsi="Times New Roman" w:cs="Times New Roman"/>
          <w:sz w:val="24"/>
          <w:szCs w:val="24"/>
          <w:lang w:eastAsia="lv-LV"/>
        </w:rPr>
        <w:t>i</w:t>
      </w:r>
      <w:r w:rsidR="00AF26CD" w:rsidRPr="00AF26CD">
        <w:rPr>
          <w:rFonts w:ascii="Times New Roman" w:eastAsia="Times New Roman" w:hAnsi="Times New Roman" w:cs="Times New Roman"/>
          <w:sz w:val="24"/>
          <w:szCs w:val="24"/>
          <w:lang w:eastAsia="lv-LV"/>
        </w:rPr>
        <w:t xml:space="preserve"> </w:t>
      </w:r>
      <w:proofErr w:type="spellStart"/>
      <w:r w:rsidR="00AF26CD" w:rsidRPr="00AF26CD">
        <w:rPr>
          <w:rFonts w:ascii="Times New Roman" w:eastAsia="Times New Roman" w:hAnsi="Times New Roman" w:cs="Times New Roman"/>
          <w:sz w:val="24"/>
          <w:szCs w:val="24"/>
          <w:lang w:eastAsia="lv-LV"/>
        </w:rPr>
        <w:t>euro</w:t>
      </w:r>
      <w:proofErr w:type="spellEnd"/>
      <w:r w:rsidR="00AF26CD" w:rsidRPr="00AF26CD">
        <w:rPr>
          <w:rFonts w:ascii="Times New Roman" w:eastAsia="Times New Roman" w:hAnsi="Times New Roman" w:cs="Times New Roman"/>
          <w:sz w:val="24"/>
          <w:szCs w:val="24"/>
          <w:lang w:eastAsia="lv-LV"/>
        </w:rPr>
        <w:t>).</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240FE33A" w14:textId="0C92CC71"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bookmarkStart w:id="2" w:name="2"/>
      <w:bookmarkEnd w:id="2"/>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w:t>
      </w:r>
      <w:r w:rsidR="00631E7B">
        <w:rPr>
          <w:rFonts w:ascii="Times New Roman" w:eastAsia="Times New Roman" w:hAnsi="Times New Roman" w:cs="Times New Roman"/>
          <w:sz w:val="24"/>
          <w:szCs w:val="24"/>
          <w:lang w:eastAsia="lv-LV"/>
        </w:rPr>
        <w:t>egūt īpašumā nekustamo īpašumu</w:t>
      </w:r>
      <w:r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4002D784"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Visiem pretendentiem, kuri vēlas piedalīties izsolē,  </w:t>
      </w:r>
      <w:r w:rsidR="00AC1403" w:rsidRPr="00AC1403">
        <w:rPr>
          <w:rFonts w:ascii="Times New Roman" w:eastAsia="Times New Roman" w:hAnsi="Times New Roman" w:cs="Times New Roman"/>
          <w:sz w:val="24"/>
          <w:szCs w:val="24"/>
          <w:lang w:eastAsia="lv-LV"/>
        </w:rPr>
        <w:t>2</w:t>
      </w:r>
      <w:r w:rsidRPr="00AC1403">
        <w:rPr>
          <w:rFonts w:ascii="Times New Roman" w:eastAsia="Times New Roman" w:hAnsi="Times New Roman" w:cs="Times New Roman"/>
          <w:sz w:val="24"/>
          <w:szCs w:val="24"/>
          <w:lang w:eastAsia="lv-LV"/>
        </w:rPr>
        <w:t>0 (</w:t>
      </w:r>
      <w:r w:rsidR="00AC1403" w:rsidRPr="00AC1403">
        <w:rPr>
          <w:rFonts w:ascii="Times New Roman" w:eastAsia="Times New Roman" w:hAnsi="Times New Roman" w:cs="Times New Roman"/>
          <w:sz w:val="24"/>
          <w:szCs w:val="24"/>
          <w:lang w:eastAsia="lv-LV"/>
        </w:rPr>
        <w:t>div</w:t>
      </w:r>
      <w:r w:rsidRPr="00AC1403">
        <w:rPr>
          <w:rFonts w:ascii="Times New Roman" w:eastAsia="Times New Roman" w:hAnsi="Times New Roman" w:cs="Times New Roman"/>
          <w:sz w:val="24"/>
          <w:szCs w:val="24"/>
          <w:lang w:eastAsia="lv-LV"/>
        </w:rPr>
        <w:t>desmit)</w:t>
      </w:r>
      <w:r w:rsidRPr="00AF26CD">
        <w:rPr>
          <w:rFonts w:ascii="Times New Roman" w:eastAsia="Times New Roman" w:hAnsi="Times New Roman" w:cs="Times New Roman"/>
          <w:sz w:val="24"/>
          <w:szCs w:val="24"/>
          <w:lang w:eastAsia="lv-LV"/>
        </w:rPr>
        <w:t xml:space="preserve">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E46B29">
        <w:rPr>
          <w:rFonts w:ascii="Times New Roman" w:eastAsia="Times New Roman" w:hAnsi="Times New Roman" w:cs="Times New Roman"/>
          <w:sz w:val="24"/>
          <w:szCs w:val="24"/>
          <w:lang w:eastAsia="lv-LV"/>
        </w:rPr>
        <w:t>Parka iela 13, Alojā</w:t>
      </w:r>
      <w:r w:rsidRPr="00AF26CD">
        <w:rPr>
          <w:rFonts w:ascii="Times New Roman" w:eastAsia="Times New Roman" w:hAnsi="Times New Roman" w:cs="Times New Roman"/>
          <w:sz w:val="24"/>
          <w:szCs w:val="24"/>
          <w:lang w:eastAsia="lv-LV"/>
        </w:rPr>
        <w:t xml:space="preserve">, Limbažu novadā elektroniskai izsolei”, Limbažu novada pašvaldības norēķinu kontā: </w:t>
      </w:r>
      <w:r w:rsidRPr="00AF26CD">
        <w:rPr>
          <w:rFonts w:ascii="Times New Roman" w:eastAsia="Arial Unicode MS" w:hAnsi="Times New Roman" w:cs="Tahoma"/>
          <w:kern w:val="1"/>
          <w:sz w:val="24"/>
          <w:szCs w:val="24"/>
          <w:lang w:eastAsia="lv-LV" w:bidi="hi-IN"/>
        </w:rPr>
        <w:t>AS „Swedbank”, bankas kods HABALV22, konta Nr. LV12HABA0551026085817.</w:t>
      </w:r>
    </w:p>
    <w:p w14:paraId="240FE33D" w14:textId="77777777" w:rsidR="009158C0" w:rsidRDefault="009158C0" w:rsidP="00AF26CD">
      <w:pPr>
        <w:spacing w:after="0" w:line="240" w:lineRule="auto"/>
        <w:jc w:val="both"/>
        <w:rPr>
          <w:rFonts w:ascii="Times New Roman" w:eastAsia="Times New Roman" w:hAnsi="Times New Roman" w:cs="Times New Roman"/>
          <w:sz w:val="24"/>
          <w:szCs w:val="24"/>
          <w:lang w:eastAsia="lv-LV"/>
        </w:rPr>
      </w:pPr>
    </w:p>
    <w:p w14:paraId="240FE33F" w14:textId="39819A49" w:rsidR="00AF26CD" w:rsidRPr="00631E7B" w:rsidRDefault="00AF26CD" w:rsidP="00631E7B">
      <w:pPr>
        <w:pStyle w:val="ListParagraph"/>
        <w:numPr>
          <w:ilvl w:val="0"/>
          <w:numId w:val="3"/>
        </w:numPr>
        <w:spacing w:after="0" w:line="240" w:lineRule="auto"/>
        <w:jc w:val="center"/>
        <w:rPr>
          <w:rFonts w:eastAsia="Times New Roman" w:cs="Times New Roman"/>
          <w:b/>
          <w:szCs w:val="24"/>
          <w:lang w:eastAsia="lv-LV"/>
        </w:rPr>
      </w:pPr>
      <w:r w:rsidRPr="00631E7B">
        <w:rPr>
          <w:rFonts w:eastAsia="Times New Roman" w:cs="Times New Roman"/>
          <w:b/>
          <w:szCs w:val="24"/>
          <w:lang w:eastAsia="lv-LV"/>
        </w:rPr>
        <w:t>Izsoles norise</w:t>
      </w:r>
    </w:p>
    <w:p w14:paraId="240FE340" w14:textId="15B2A168"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4409A7">
        <w:rPr>
          <w:rFonts w:ascii="Times New Roman" w:eastAsia="Times New Roman" w:hAnsi="Times New Roman" w:cs="Times New Roman"/>
          <w:sz w:val="24"/>
          <w:szCs w:val="24"/>
          <w:lang w:eastAsia="lv-LV"/>
        </w:rPr>
        <w:t>4</w:t>
      </w:r>
      <w:r w:rsidRPr="00AF26CD">
        <w:rPr>
          <w:rFonts w:ascii="Times New Roman" w:eastAsia="Times New Roman" w:hAnsi="Times New Roman" w:cs="Times New Roman"/>
          <w:sz w:val="24"/>
          <w:szCs w:val="24"/>
          <w:lang w:eastAsia="lv-LV"/>
        </w:rPr>
        <w:t xml:space="preserve">. gada </w:t>
      </w:r>
      <w:r w:rsidR="00037069">
        <w:rPr>
          <w:rFonts w:ascii="Times New Roman" w:eastAsia="Times New Roman" w:hAnsi="Times New Roman" w:cs="Times New Roman"/>
          <w:sz w:val="24"/>
          <w:szCs w:val="24"/>
          <w:lang w:eastAsia="lv-LV"/>
        </w:rPr>
        <w:t>20. decembrī</w:t>
      </w:r>
      <w:r w:rsidRPr="00AF26CD">
        <w:rPr>
          <w:rFonts w:ascii="Times New Roman" w:eastAsia="Times New Roman" w:hAnsi="Times New Roman" w:cs="Times New Roman"/>
          <w:sz w:val="24"/>
          <w:szCs w:val="24"/>
          <w:lang w:eastAsia="lv-LV"/>
        </w:rPr>
        <w:t xml:space="preserve"> plkst.13:00 un noslēdzas 202</w:t>
      </w:r>
      <w:r w:rsidR="00037069">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037069">
        <w:rPr>
          <w:rFonts w:ascii="Times New Roman" w:eastAsia="Times New Roman" w:hAnsi="Times New Roman" w:cs="Times New Roman"/>
          <w:sz w:val="24"/>
          <w:szCs w:val="24"/>
          <w:lang w:eastAsia="lv-LV"/>
        </w:rPr>
        <w:t>20. janvārī</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w:t>
      </w:r>
      <w:r w:rsidRPr="00AF26CD">
        <w:rPr>
          <w:rFonts w:ascii="Times New Roman" w:eastAsia="Times New Roman" w:hAnsi="Times New Roman" w:cs="Times New Roman"/>
          <w:sz w:val="24"/>
          <w:szCs w:val="24"/>
          <w:lang w:eastAsia="lv-LV"/>
        </w:rPr>
        <w:lastRenderedPageBreak/>
        <w:t xml:space="preserve">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AB54FD">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00,00 EUR (</w:t>
      </w:r>
      <w:r w:rsidR="00AB54FD">
        <w:rPr>
          <w:rFonts w:ascii="Times New Roman" w:eastAsia="Times New Roman" w:hAnsi="Times New Roman" w:cs="Times New Roman"/>
          <w:sz w:val="24"/>
          <w:szCs w:val="24"/>
          <w:lang w:eastAsia="lv-LV"/>
        </w:rPr>
        <w:t xml:space="preserve">pieci </w:t>
      </w:r>
      <w:r w:rsidRPr="00AF26CD">
        <w:rPr>
          <w:rFonts w:ascii="Times New Roman" w:eastAsia="Times New Roman" w:hAnsi="Times New Roman" w:cs="Times New Roman"/>
          <w:sz w:val="24"/>
          <w:szCs w:val="24"/>
          <w:lang w:eastAsia="lv-LV"/>
        </w:rPr>
        <w:t>simt</w:t>
      </w:r>
      <w:r w:rsidR="009158C0" w:rsidRPr="00281BE3">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 xml:space="preserve"> </w:t>
      </w:r>
      <w:proofErr w:type="spellStart"/>
      <w:r w:rsidRPr="00AF26CD">
        <w:rPr>
          <w:rFonts w:ascii="Times New Roman" w:eastAsia="Times New Roman" w:hAnsi="Times New Roman" w:cs="Times New Roman"/>
          <w:sz w:val="24"/>
          <w:szCs w:val="24"/>
          <w:lang w:eastAsia="lv-LV"/>
        </w:rPr>
        <w:t>euro</w:t>
      </w:r>
      <w:proofErr w:type="spellEnd"/>
      <w:r w:rsidRPr="00AF26CD">
        <w:rPr>
          <w:rFonts w:ascii="Times New Roman" w:eastAsia="Times New Roman" w:hAnsi="Times New Roman" w:cs="Times New Roman"/>
          <w:sz w:val="24"/>
          <w:szCs w:val="24"/>
          <w:lang w:eastAsia="lv-LV"/>
        </w:rPr>
        <w:t>),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2EB26294" w:rsidR="00AF26CD" w:rsidRPr="00AF26CD" w:rsidRDefault="00B8769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w:t>
      </w:r>
      <w:r>
        <w:rPr>
          <w:rFonts w:ascii="Times New Roman" w:eastAsia="Times New Roman" w:hAnsi="Times New Roman" w:cs="Times New Roman"/>
          <w:bCs/>
          <w:iCs/>
          <w:sz w:val="24"/>
          <w:szCs w:val="24"/>
        </w:rPr>
        <w:t>jāsamaksā</w:t>
      </w:r>
      <w:r w:rsidRPr="00AF26CD">
        <w:rPr>
          <w:rFonts w:ascii="Times New Roman" w:eastAsia="Times New Roman" w:hAnsi="Times New Roman" w:cs="Times New Roman"/>
          <w:bCs/>
          <w:iCs/>
          <w:sz w:val="24"/>
          <w:szCs w:val="24"/>
        </w:rPr>
        <w:t xml:space="preserve"> pirkuma summu, kas atbilst starpībai starp augstāko nosolīto cenu un</w:t>
      </w:r>
      <w:r>
        <w:rPr>
          <w:rFonts w:ascii="Times New Roman" w:eastAsia="Times New Roman" w:hAnsi="Times New Roman" w:cs="Times New Roman"/>
          <w:bCs/>
          <w:iCs/>
          <w:sz w:val="24"/>
          <w:szCs w:val="24"/>
        </w:rPr>
        <w:t xml:space="preserve"> iemaksāto nodrošinājuma naudu, </w:t>
      </w:r>
      <w:r w:rsidRPr="00AF26CD">
        <w:rPr>
          <w:rFonts w:ascii="Times New Roman" w:eastAsia="Times New Roman" w:hAnsi="Times New Roman" w:cs="Times New Roman"/>
          <w:sz w:val="24"/>
          <w:szCs w:val="24"/>
          <w:lang w:eastAsia="lv-LV"/>
        </w:rPr>
        <w:t>divu nedēļu laikā. Izsoles dalības maksa netiek ieskaitīta norēķinos par nosolīto nekustamo īpašumu</w:t>
      </w:r>
      <w:r w:rsidR="00AF26CD" w:rsidRPr="00AF26CD">
        <w:rPr>
          <w:rFonts w:ascii="Times New Roman" w:eastAsia="Times New Roman" w:hAnsi="Times New Roman" w:cs="Times New Roman"/>
          <w:sz w:val="24"/>
          <w:szCs w:val="24"/>
          <w:lang w:eastAsia="lv-LV"/>
        </w:rPr>
        <w:t xml:space="preserve">.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4674A846" w14:textId="77777777" w:rsidR="00204AFB" w:rsidRDefault="00204AFB" w:rsidP="00AF26CD">
      <w:pPr>
        <w:spacing w:after="0" w:line="240" w:lineRule="auto"/>
        <w:ind w:left="567"/>
        <w:jc w:val="both"/>
        <w:rPr>
          <w:rFonts w:ascii="Times New Roman" w:eastAsia="Times New Roman" w:hAnsi="Times New Roman" w:cs="Times New Roman"/>
          <w:sz w:val="24"/>
          <w:szCs w:val="24"/>
          <w:lang w:eastAsia="lv-LV"/>
        </w:rPr>
      </w:pPr>
    </w:p>
    <w:p w14:paraId="04685622" w14:textId="77777777" w:rsidR="00204AFB" w:rsidRPr="00AF26CD" w:rsidRDefault="00204AFB"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lastRenderedPageBreak/>
        <w:t>Nenotikusi izsole</w:t>
      </w:r>
    </w:p>
    <w:p w14:paraId="6D8FB4AF" w14:textId="77777777" w:rsidR="00631E7B" w:rsidRDefault="00631E7B" w:rsidP="00631E7B">
      <w:pPr>
        <w:spacing w:after="0" w:line="240" w:lineRule="auto"/>
        <w:ind w:left="360"/>
        <w:rPr>
          <w:rFonts w:ascii="Times New Roman" w:eastAsia="Times New Roman" w:hAnsi="Times New Roman" w:cs="Times New Roman"/>
          <w:b/>
          <w:sz w:val="24"/>
          <w:szCs w:val="24"/>
          <w:lang w:eastAsia="lv-LV"/>
        </w:rPr>
      </w:pPr>
    </w:p>
    <w:p w14:paraId="240FE355" w14:textId="688977E3" w:rsidR="00AF26CD" w:rsidRPr="00AF26CD" w:rsidRDefault="00631E7B"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  Izsole atzīstama par nenotikušu, ja:</w:t>
      </w:r>
    </w:p>
    <w:p w14:paraId="240FE356" w14:textId="4AF08A98" w:rsidR="00AF26CD" w:rsidRPr="00AF26CD" w:rsidRDefault="00631E7B"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21CD7D55" w:rsidR="00AF26CD" w:rsidRPr="00AF26CD" w:rsidRDefault="00631E7B"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401361A4" w:rsidR="00AF26CD" w:rsidRPr="00AF26CD" w:rsidRDefault="00631E7B"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00EBB13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631E7B">
        <w:rPr>
          <w:rFonts w:ascii="Times New Roman" w:eastAsia="Times New Roman" w:hAnsi="Times New Roman" w:cs="Times New Roman"/>
          <w:sz w:val="24"/>
          <w:szCs w:val="24"/>
          <w:lang w:bidi="yi-Hebr"/>
        </w:rPr>
        <w:t>6</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7ABC073F" w:rsidR="00AF26CD" w:rsidRDefault="00631E7B"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2C9C2931" w:rsidR="00AC1403" w:rsidRDefault="00631E7B"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6</w:t>
      </w:r>
      <w:r w:rsidR="003218F2">
        <w:rPr>
          <w:rFonts w:ascii="Times New Roman" w:eastAsia="Times New Roman" w:hAnsi="Times New Roman" w:cs="Times New Roman"/>
          <w:sz w:val="24"/>
          <w:szCs w:val="24"/>
          <w:lang w:bidi="yi-Hebr"/>
        </w:rPr>
        <w:t>.3.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1BD5F992" w:rsidR="00AF26CD" w:rsidRPr="00631E7B" w:rsidRDefault="00AF26CD" w:rsidP="00631E7B">
      <w:pPr>
        <w:pStyle w:val="ListParagraph"/>
        <w:numPr>
          <w:ilvl w:val="0"/>
          <w:numId w:val="3"/>
        </w:numPr>
        <w:spacing w:after="0" w:line="240" w:lineRule="auto"/>
        <w:jc w:val="center"/>
        <w:rPr>
          <w:rFonts w:eastAsia="Times New Roman" w:cs="Times New Roman"/>
          <w:b/>
          <w:szCs w:val="24"/>
          <w:lang w:bidi="yi-Hebr"/>
        </w:rPr>
      </w:pPr>
      <w:r w:rsidRPr="00631E7B">
        <w:rPr>
          <w:rFonts w:eastAsia="Times New Roman" w:cs="Times New Roman"/>
          <w:b/>
          <w:szCs w:val="24"/>
          <w:lang w:bidi="yi-Hebr"/>
        </w:rPr>
        <w:t>Izsoles komisijas lēmumu pārsūdzības kārtība</w:t>
      </w:r>
    </w:p>
    <w:p w14:paraId="0F8966D6" w14:textId="77777777" w:rsidR="00631E7B" w:rsidRDefault="00631E7B" w:rsidP="00AF26CD">
      <w:pPr>
        <w:spacing w:after="0" w:line="240" w:lineRule="auto"/>
        <w:jc w:val="both"/>
        <w:rPr>
          <w:rFonts w:ascii="Times New Roman" w:eastAsia="Times New Roman" w:hAnsi="Times New Roman" w:cs="Times New Roman"/>
          <w:sz w:val="24"/>
          <w:szCs w:val="24"/>
          <w:lang w:eastAsia="lv-LV"/>
        </w:rPr>
      </w:pPr>
    </w:p>
    <w:p w14:paraId="240FE360" w14:textId="2F033DB0" w:rsidR="00AF26CD" w:rsidRPr="00AF26CD" w:rsidRDefault="00631E7B"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4519DCC2" w:rsidR="00AF26CD" w:rsidRPr="00AF26CD" w:rsidRDefault="008F5A20"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w:t>
      </w:r>
      <w:r w:rsidR="00037069">
        <w:rPr>
          <w:rFonts w:ascii="Times New Roman" w:eastAsia="Arial Unicode MS" w:hAnsi="Times New Roman" w:cs="Tahoma"/>
          <w:kern w:val="1"/>
          <w:sz w:val="24"/>
          <w:szCs w:val="24"/>
          <w:lang w:eastAsia="hi-IN" w:bidi="hi-IN"/>
        </w:rPr>
        <w:t>8</w:t>
      </w:r>
      <w:r w:rsidR="00AF26CD" w:rsidRPr="00AF26CD">
        <w:rPr>
          <w:rFonts w:ascii="Times New Roman" w:eastAsia="Arial Unicode MS" w:hAnsi="Times New Roman" w:cs="Tahoma"/>
          <w:kern w:val="1"/>
          <w:sz w:val="24"/>
          <w:szCs w:val="24"/>
          <w:lang w:eastAsia="hi-IN" w:bidi="hi-IN"/>
        </w:rPr>
        <w:t>.</w:t>
      </w:r>
      <w:r w:rsidR="00037069">
        <w:rPr>
          <w:rFonts w:ascii="Times New Roman" w:eastAsia="Arial Unicode MS" w:hAnsi="Times New Roman" w:cs="Tahoma"/>
          <w:kern w:val="1"/>
          <w:sz w:val="24"/>
          <w:szCs w:val="24"/>
          <w:lang w:eastAsia="hi-IN" w:bidi="hi-IN"/>
        </w:rPr>
        <w:t>11</w:t>
      </w:r>
      <w:r w:rsidR="00AF26CD" w:rsidRPr="00AF26CD">
        <w:rPr>
          <w:rFonts w:ascii="Times New Roman" w:eastAsia="Arial Unicode MS" w:hAnsi="Times New Roman" w:cs="Tahoma"/>
          <w:kern w:val="1"/>
          <w:sz w:val="24"/>
          <w:szCs w:val="24"/>
          <w:lang w:eastAsia="hi-IN" w:bidi="hi-IN"/>
        </w:rPr>
        <w:t>.202</w:t>
      </w:r>
      <w:r w:rsidR="00631E7B">
        <w:rPr>
          <w:rFonts w:ascii="Times New Roman" w:eastAsia="Arial Unicode MS" w:hAnsi="Times New Roman" w:cs="Tahoma"/>
          <w:kern w:val="1"/>
          <w:sz w:val="24"/>
          <w:szCs w:val="24"/>
          <w:lang w:eastAsia="hi-IN" w:bidi="hi-IN"/>
        </w:rPr>
        <w:t>4</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40FE366" w14:textId="3D098A80"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nekustamā īpašuma </w:t>
      </w:r>
      <w:r w:rsidR="008F5A20">
        <w:rPr>
          <w:rFonts w:ascii="Times New Roman" w:eastAsia="Arial Unicode MS" w:hAnsi="Times New Roman" w:cs="Tahoma"/>
          <w:kern w:val="1"/>
          <w:sz w:val="24"/>
          <w:szCs w:val="24"/>
          <w:lang w:bidi="hi-IN"/>
        </w:rPr>
        <w:t>Parka iela 13, Alojā</w:t>
      </w: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E18787B"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 xml:space="preserve">Limbažos,                                                                                 </w:t>
      </w:r>
      <w:r w:rsidR="00631E7B">
        <w:rPr>
          <w:rFonts w:ascii="Times New Roman" w:eastAsia="Times New Roman" w:hAnsi="Times New Roman" w:cs="Times New Roman"/>
          <w:sz w:val="24"/>
          <w:szCs w:val="24"/>
        </w:rPr>
        <w:t>202</w:t>
      </w:r>
      <w:r w:rsidR="00037069">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4D4FB30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631E7B">
        <w:rPr>
          <w:rFonts w:ascii="Times New Roman" w:eastAsia="Times New Roman" w:hAnsi="Times New Roman" w:cs="Times New Roman"/>
          <w:i/>
          <w:iCs/>
          <w:sz w:val="24"/>
          <w:szCs w:val="24"/>
        </w:rPr>
        <w:t>4</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73B3E3F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8F5A20" w:rsidRPr="00E46B29">
        <w:rPr>
          <w:rFonts w:ascii="Times New Roman" w:eastAsia="Calibri" w:hAnsi="Times New Roman" w:cs="Times New Roman"/>
          <w:kern w:val="1"/>
          <w:sz w:val="24"/>
          <w:szCs w:val="24"/>
          <w:lang w:bidi="hi-IN"/>
        </w:rPr>
        <w:t>Parka iela 13, Alojā, Limbažu novadā, kadastra numurs: 6607 001 0175, kas sastāv no vienas zemes vienības ar kadastra apzīmējumu: 6607 001 0175, 11800 m</w:t>
      </w:r>
      <w:r w:rsidR="008F5A20" w:rsidRPr="00E46B29">
        <w:rPr>
          <w:rFonts w:ascii="Times New Roman" w:eastAsia="Calibri" w:hAnsi="Times New Roman" w:cs="Times New Roman"/>
          <w:kern w:val="1"/>
          <w:sz w:val="24"/>
          <w:szCs w:val="24"/>
          <w:vertAlign w:val="superscript"/>
          <w:lang w:bidi="hi-IN"/>
        </w:rPr>
        <w:t>2</w:t>
      </w:r>
      <w:r w:rsidR="008F5A20" w:rsidRPr="00E46B29">
        <w:rPr>
          <w:rFonts w:ascii="Times New Roman" w:eastAsia="Calibri" w:hAnsi="Times New Roman" w:cs="Times New Roman"/>
          <w:kern w:val="1"/>
          <w:sz w:val="24"/>
          <w:szCs w:val="24"/>
          <w:lang w:bidi="hi-IN"/>
        </w:rPr>
        <w:t xml:space="preserve"> ha platībā un ēkām ar kadastra apzīmējumiem: 6607001 0175 001, 6607 001 0175 002, 6607 001 0175 009, 6607 001 0175 012 un 6607 001 0175 013</w:t>
      </w:r>
      <w:r w:rsidRPr="00AF26CD">
        <w:rPr>
          <w:rFonts w:ascii="Times New Roman" w:eastAsia="Times New Roman" w:hAnsi="Times New Roman" w:cs="Times New Roman"/>
          <w:sz w:val="24"/>
          <w:szCs w:val="24"/>
        </w:rPr>
        <w:t xml:space="preserve">, turpmāk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7BD2CB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60C62B56"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2D79775B"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27E4B43A"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C6D1B" w14:textId="77777777" w:rsidR="002837F9" w:rsidRDefault="002837F9">
      <w:pPr>
        <w:spacing w:after="0" w:line="240" w:lineRule="auto"/>
      </w:pPr>
      <w:r>
        <w:separator/>
      </w:r>
    </w:p>
  </w:endnote>
  <w:endnote w:type="continuationSeparator" w:id="0">
    <w:p w14:paraId="458B2B4D" w14:textId="77777777" w:rsidR="002837F9" w:rsidRDefault="0028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CF45D" w14:textId="77777777" w:rsidR="002837F9" w:rsidRDefault="002837F9">
      <w:pPr>
        <w:spacing w:after="0" w:line="240" w:lineRule="auto"/>
      </w:pPr>
      <w:r>
        <w:separator/>
      </w:r>
    </w:p>
  </w:footnote>
  <w:footnote w:type="continuationSeparator" w:id="0">
    <w:p w14:paraId="1A702DBD" w14:textId="77777777" w:rsidR="002837F9" w:rsidRDefault="00283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FB2A7A">
          <w:rPr>
            <w:noProof/>
          </w:rPr>
          <w:t>2</w:t>
        </w:r>
        <w:r>
          <w:fldChar w:fldCharType="end"/>
        </w:r>
      </w:p>
    </w:sdtContent>
  </w:sdt>
  <w:p w14:paraId="240FE3B4" w14:textId="77777777" w:rsidR="00B86B86" w:rsidRDefault="00283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2837F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4B83"/>
    <w:rsid w:val="00037069"/>
    <w:rsid w:val="0006334A"/>
    <w:rsid w:val="001602C0"/>
    <w:rsid w:val="001F7EE2"/>
    <w:rsid w:val="00204AFB"/>
    <w:rsid w:val="00270413"/>
    <w:rsid w:val="00281BE3"/>
    <w:rsid w:val="002837F9"/>
    <w:rsid w:val="0028624B"/>
    <w:rsid w:val="003218F2"/>
    <w:rsid w:val="003565A9"/>
    <w:rsid w:val="00357C0F"/>
    <w:rsid w:val="00392834"/>
    <w:rsid w:val="003E6B06"/>
    <w:rsid w:val="004409A7"/>
    <w:rsid w:val="0046615B"/>
    <w:rsid w:val="00583438"/>
    <w:rsid w:val="005A7331"/>
    <w:rsid w:val="005B4B34"/>
    <w:rsid w:val="006057A9"/>
    <w:rsid w:val="00625484"/>
    <w:rsid w:val="00631E7B"/>
    <w:rsid w:val="008F5A20"/>
    <w:rsid w:val="009158C0"/>
    <w:rsid w:val="0091675D"/>
    <w:rsid w:val="00941CB7"/>
    <w:rsid w:val="009A16EE"/>
    <w:rsid w:val="009B286F"/>
    <w:rsid w:val="009C526E"/>
    <w:rsid w:val="00A27C70"/>
    <w:rsid w:val="00AB54FD"/>
    <w:rsid w:val="00AC1403"/>
    <w:rsid w:val="00AD1B43"/>
    <w:rsid w:val="00AF26CD"/>
    <w:rsid w:val="00B8769A"/>
    <w:rsid w:val="00BB0D45"/>
    <w:rsid w:val="00BC7EC1"/>
    <w:rsid w:val="00C4066B"/>
    <w:rsid w:val="00CE76D2"/>
    <w:rsid w:val="00D052AA"/>
    <w:rsid w:val="00D439C6"/>
    <w:rsid w:val="00DD4303"/>
    <w:rsid w:val="00E02D33"/>
    <w:rsid w:val="00E46B29"/>
    <w:rsid w:val="00E77BD9"/>
    <w:rsid w:val="00EA7AF6"/>
    <w:rsid w:val="00FB2A7A"/>
    <w:rsid w:val="00FE69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8465</Words>
  <Characters>4826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5</cp:revision>
  <dcterms:created xsi:type="dcterms:W3CDTF">2024-11-29T06:47:00Z</dcterms:created>
  <dcterms:modified xsi:type="dcterms:W3CDTF">2024-11-29T06:56:00Z</dcterms:modified>
</cp:coreProperties>
</file>