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61ACC067" w:rsidR="00753E71" w:rsidRPr="00DE3991" w:rsidRDefault="00395D12" w:rsidP="00753E71">
      <w:pPr>
        <w:tabs>
          <w:tab w:val="right" w:pos="9356"/>
        </w:tabs>
        <w:snapToGrid w:val="0"/>
        <w:jc w:val="right"/>
        <w:rPr>
          <w:rFonts w:cs="Tahoma"/>
          <w:bCs/>
          <w:color w:val="0070C0"/>
        </w:rPr>
      </w:pPr>
      <w:r>
        <w:rPr>
          <w:rFonts w:cs="Tahoma"/>
          <w:bCs/>
          <w:noProof/>
        </w:rPr>
        <w:t>11</w:t>
      </w:r>
      <w:r w:rsidR="00753E71" w:rsidRPr="00F67DBB">
        <w:rPr>
          <w:rFonts w:cs="Tahoma"/>
          <w:bCs/>
          <w:noProof/>
        </w:rPr>
        <w:t>.</w:t>
      </w:r>
      <w:r w:rsidR="007732B5">
        <w:rPr>
          <w:rFonts w:cs="Tahoma"/>
          <w:bCs/>
          <w:noProof/>
        </w:rPr>
        <w:t>11</w:t>
      </w:r>
      <w:r w:rsidR="00753E71" w:rsidRPr="00F67DBB">
        <w:rPr>
          <w:rFonts w:cs="Tahoma"/>
          <w:bCs/>
          <w:noProof/>
        </w:rPr>
        <w:t>.2024</w:t>
      </w:r>
      <w:r w:rsidR="003C38D4" w:rsidRPr="00F67DBB">
        <w:rPr>
          <w:rFonts w:eastAsia="Lucida Sans Unicode"/>
        </w:rPr>
        <w:t>. lēmumu</w:t>
      </w:r>
      <w:r w:rsidR="00753E71" w:rsidRPr="00F67DBB">
        <w:rPr>
          <w:rFonts w:eastAsia="Lucida Sans Unicode"/>
        </w:rPr>
        <w:t xml:space="preserve"> </w:t>
      </w:r>
      <w:r w:rsidR="00753E71" w:rsidRPr="00F67DBB">
        <w:rPr>
          <w:rFonts w:cs="Tahoma"/>
          <w:bCs/>
        </w:rPr>
        <w:t xml:space="preserve">Nr. </w:t>
      </w:r>
      <w:r w:rsidR="00F67DBB" w:rsidRPr="00F67DBB">
        <w:rPr>
          <w:rFonts w:cs="Tahoma"/>
          <w:bCs/>
          <w:noProof/>
        </w:rPr>
        <w:t>1-40/24/</w:t>
      </w:r>
      <w:r>
        <w:rPr>
          <w:rFonts w:cs="Tahoma"/>
          <w:bCs/>
          <w:noProof/>
        </w:rPr>
        <w:t>185</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2E852F18" w:rsidR="00476AF9" w:rsidRPr="004F36A8" w:rsidRDefault="003C38D4" w:rsidP="00476AF9">
      <w:pPr>
        <w:jc w:val="center"/>
        <w:rPr>
          <w:b/>
          <w:lang w:eastAsia="zh-CN"/>
        </w:rPr>
      </w:pPr>
      <w:r w:rsidRPr="004F36A8">
        <w:rPr>
          <w:b/>
          <w:lang w:eastAsia="zh-CN"/>
        </w:rPr>
        <w:t xml:space="preserve">Nekustamā īpašuma ar kadastra numuru </w:t>
      </w:r>
      <w:r w:rsidR="008A4A0F">
        <w:rPr>
          <w:b/>
          <w:lang w:eastAsia="zh-CN"/>
        </w:rPr>
        <w:t>5648 005 0228</w:t>
      </w:r>
      <w:r w:rsidRPr="004F36A8">
        <w:rPr>
          <w:b/>
          <w:lang w:eastAsia="zh-CN"/>
        </w:rPr>
        <w:t xml:space="preserve">, </w:t>
      </w:r>
      <w:r w:rsidR="0073738E">
        <w:rPr>
          <w:b/>
          <w:lang w:eastAsia="zh-CN"/>
        </w:rPr>
        <w:t>“</w:t>
      </w:r>
      <w:r w:rsidR="007658EC">
        <w:rPr>
          <w:b/>
          <w:lang w:eastAsia="zh-CN"/>
        </w:rPr>
        <w:t xml:space="preserve">D/s </w:t>
      </w:r>
      <w:r w:rsidR="004B1F52">
        <w:rPr>
          <w:b/>
          <w:lang w:eastAsia="zh-CN"/>
        </w:rPr>
        <w:t>Veselība Nr. 179</w:t>
      </w:r>
      <w:r w:rsidR="0073738E">
        <w:rPr>
          <w:b/>
          <w:lang w:eastAsia="zh-CN"/>
        </w:rPr>
        <w:t xml:space="preserve">”, </w:t>
      </w:r>
      <w:r w:rsidR="007658EC">
        <w:rPr>
          <w:b/>
          <w:lang w:eastAsia="zh-CN"/>
        </w:rPr>
        <w:t>Ābeļu</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4A1EE9B6"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8A4A0F">
        <w:rPr>
          <w:b/>
          <w:bCs/>
          <w:color w:val="000000" w:themeColor="text1"/>
          <w:lang w:eastAsia="zh-CN"/>
        </w:rPr>
        <w:t>5648 005 0228</w:t>
      </w:r>
      <w:r w:rsidRPr="009A214F">
        <w:rPr>
          <w:b/>
          <w:bCs/>
          <w:color w:val="000000" w:themeColor="text1"/>
          <w:lang w:eastAsia="zh-CN"/>
        </w:rPr>
        <w:t xml:space="preserve">, </w:t>
      </w:r>
      <w:r w:rsidR="0073738E" w:rsidRPr="009A214F">
        <w:rPr>
          <w:b/>
          <w:bCs/>
          <w:color w:val="000000" w:themeColor="text1"/>
          <w:lang w:eastAsia="zh-CN"/>
        </w:rPr>
        <w:t>“</w:t>
      </w:r>
      <w:r w:rsidR="007658EC">
        <w:rPr>
          <w:b/>
          <w:bCs/>
          <w:color w:val="000000" w:themeColor="text1"/>
          <w:lang w:eastAsia="zh-CN"/>
        </w:rPr>
        <w:t xml:space="preserve">D/s </w:t>
      </w:r>
      <w:r w:rsidR="004B1F52">
        <w:rPr>
          <w:b/>
          <w:bCs/>
          <w:color w:val="000000" w:themeColor="text1"/>
          <w:lang w:eastAsia="zh-CN"/>
        </w:rPr>
        <w:t>Veselība Nr. 179</w:t>
      </w:r>
      <w:r w:rsidR="0073738E" w:rsidRPr="009A214F">
        <w:rPr>
          <w:b/>
          <w:bCs/>
          <w:color w:val="000000" w:themeColor="text1"/>
          <w:lang w:eastAsia="zh-CN"/>
        </w:rPr>
        <w:t xml:space="preserve">”, </w:t>
      </w:r>
      <w:r w:rsidR="007658EC">
        <w:rPr>
          <w:b/>
          <w:bCs/>
          <w:color w:val="000000" w:themeColor="text1"/>
          <w:lang w:eastAsia="zh-CN"/>
        </w:rPr>
        <w:t>Ābeļu</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4B1F52">
        <w:rPr>
          <w:rFonts w:cs="Tahoma"/>
          <w:bCs/>
          <w:szCs w:val="22"/>
        </w:rPr>
        <w:t>11.07.2024</w:t>
      </w:r>
      <w:r w:rsidR="002E3C4E" w:rsidRPr="009A214F">
        <w:rPr>
          <w:rFonts w:cs="Tahoma"/>
          <w:bCs/>
        </w:rPr>
        <w:t xml:space="preserve">. </w:t>
      </w:r>
      <w:r w:rsidRPr="004E3C76">
        <w:rPr>
          <w:lang w:eastAsia="zh-CN"/>
        </w:rPr>
        <w:t xml:space="preserve">lēmumu </w:t>
      </w:r>
      <w:r w:rsidR="004B1F52">
        <w:rPr>
          <w:lang w:eastAsia="zh-CN"/>
        </w:rPr>
        <w:t>Nr.559</w:t>
      </w:r>
      <w:r w:rsidR="009A214F" w:rsidRPr="009A214F">
        <w:rPr>
          <w:lang w:eastAsia="zh-CN"/>
        </w:rPr>
        <w:t xml:space="preserve"> “</w:t>
      </w:r>
      <w:r w:rsidR="00812880">
        <w:rPr>
          <w:lang w:eastAsia="zh-CN"/>
        </w:rPr>
        <w:t>Par nekustamā īpašuma ierakstīšanu zemesgrāmatā un atsavināšanu</w:t>
      </w:r>
      <w:r w:rsidR="009A214F"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34D9AC66"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6D567B">
        <w:rPr>
          <w:b/>
          <w:bCs/>
        </w:rPr>
        <w:t>3000</w:t>
      </w:r>
      <w:r w:rsidR="00587599" w:rsidRPr="009159C2">
        <w:rPr>
          <w:b/>
          <w:bCs/>
        </w:rPr>
        <w:t xml:space="preserve">,00 </w:t>
      </w:r>
      <w:proofErr w:type="spellStart"/>
      <w:r w:rsidR="009159C2" w:rsidRPr="008B3C54">
        <w:rPr>
          <w:b/>
          <w:bCs/>
          <w:i/>
          <w:iCs/>
          <w:lang w:eastAsia="zh-CN"/>
        </w:rPr>
        <w:t>euro</w:t>
      </w:r>
      <w:proofErr w:type="spellEnd"/>
      <w:r w:rsidR="009159C2">
        <w:rPr>
          <w:lang w:eastAsia="zh-CN"/>
        </w:rPr>
        <w:t xml:space="preserve"> </w:t>
      </w:r>
      <w:r w:rsidR="00587599" w:rsidRPr="00587599">
        <w:t>(</w:t>
      </w:r>
      <w:r w:rsidR="006D567B">
        <w:t>trīs tūkstoši</w:t>
      </w:r>
      <w:r w:rsidR="009B7D79" w:rsidRPr="009B7D79">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7732B5">
        <w:rPr>
          <w:b/>
          <w:bCs/>
          <w:color w:val="000000" w:themeColor="text1"/>
          <w:lang w:eastAsia="zh-CN"/>
        </w:rPr>
        <w:t>3</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7732B5">
        <w:rPr>
          <w:lang w:eastAsia="zh-CN"/>
        </w:rPr>
        <w:t>trīs</w:t>
      </w:r>
      <w:r w:rsidR="00ED5F74">
        <w:rPr>
          <w:lang w:eastAsia="zh-CN"/>
        </w:rPr>
        <w:t xml:space="preserve"> simt</w:t>
      </w:r>
      <w:r w:rsidR="002B5DDE">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12F66D2C"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8A4A0F">
        <w:rPr>
          <w:lang w:eastAsia="lv-LV"/>
        </w:rPr>
        <w:t>5648 005 0228</w:t>
      </w:r>
      <w:r w:rsidRPr="008B3C54">
        <w:rPr>
          <w:rFonts w:eastAsia="Lucida Sans Unicode"/>
        </w:rPr>
        <w:t xml:space="preserve">, </w:t>
      </w:r>
      <w:r w:rsidR="0073738E" w:rsidRPr="008B3C54">
        <w:rPr>
          <w:rFonts w:eastAsia="Lucida Sans Unicode"/>
          <w:lang w:eastAsia="lv-LV"/>
        </w:rPr>
        <w:t>“</w:t>
      </w:r>
      <w:r w:rsidR="007658EC">
        <w:rPr>
          <w:rFonts w:eastAsia="Lucida Sans Unicode"/>
          <w:lang w:eastAsia="lv-LV"/>
        </w:rPr>
        <w:t xml:space="preserve">D/s </w:t>
      </w:r>
      <w:r w:rsidR="004B1F52">
        <w:rPr>
          <w:rFonts w:eastAsia="Lucida Sans Unicode"/>
          <w:lang w:eastAsia="lv-LV"/>
        </w:rPr>
        <w:t>Veselība Nr. 179</w:t>
      </w:r>
      <w:r w:rsidR="0073738E" w:rsidRPr="008B3C54">
        <w:rPr>
          <w:rFonts w:eastAsia="Lucida Sans Unicode"/>
          <w:lang w:eastAsia="lv-LV"/>
        </w:rPr>
        <w:t xml:space="preserve">”, </w:t>
      </w:r>
      <w:r w:rsidR="007658EC">
        <w:rPr>
          <w:rFonts w:eastAsia="Lucida Sans Unicode"/>
          <w:lang w:eastAsia="lv-LV"/>
        </w:rPr>
        <w:t>Ābeļu</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00C47E81" w:rsidRPr="00C47E81">
        <w:rPr>
          <w:rFonts w:eastAsia="Lucida Sans Unicode"/>
          <w:noProof/>
        </w:rPr>
        <w:t xml:space="preserve">no vienas zemes vienības ar kadastra apzīmējumu </w:t>
      </w:r>
      <w:r w:rsidR="002E250B">
        <w:rPr>
          <w:rFonts w:eastAsia="Lucida Sans Unicode"/>
          <w:noProof/>
        </w:rPr>
        <w:t>5648 005 0228 – 0,0724</w:t>
      </w:r>
      <w:r w:rsidR="00C47E81" w:rsidRPr="00C47E81">
        <w:rPr>
          <w:rFonts w:eastAsia="Lucida Sans Unicode"/>
          <w:noProof/>
        </w:rPr>
        <w:t xml:space="preserve"> ha platībā</w:t>
      </w:r>
      <w:r w:rsidR="008B3C54" w:rsidRPr="008B3C54">
        <w:rPr>
          <w:rFonts w:eastAsia="Lucida Sans Unicode"/>
          <w:noProof/>
        </w:rPr>
        <w:t>.</w:t>
      </w:r>
    </w:p>
    <w:p w14:paraId="44C7A291" w14:textId="115834D0"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7658EC">
        <w:rPr>
          <w:rFonts w:eastAsia="Lucida Sans Unicode"/>
        </w:rPr>
        <w:t>Ābeļu</w:t>
      </w:r>
      <w:r w:rsidRPr="001328EC">
        <w:rPr>
          <w:rFonts w:eastAsia="Lucida Sans Unicode"/>
        </w:rPr>
        <w:t xml:space="preserve"> pagasta zemesgrāmatā, nodalījuma Nr.</w:t>
      </w:r>
      <w:r w:rsidR="008B3C54" w:rsidRPr="001328EC">
        <w:rPr>
          <w:rFonts w:eastAsia="Lucida Sans Unicode"/>
          <w:noProof/>
        </w:rPr>
        <w:t xml:space="preserve"> Nr.</w:t>
      </w:r>
      <w:r w:rsidR="002E250B">
        <w:rPr>
          <w:lang w:eastAsia="lv-LV"/>
        </w:rPr>
        <w:t>100000918040</w:t>
      </w:r>
      <w:r w:rsidRPr="001328EC">
        <w:rPr>
          <w:rFonts w:eastAsia="Lucida Sans Unicode"/>
        </w:rPr>
        <w:t>, uz Jēkabpils novada pašvaldības (turpmāk – Pašvaldība) vārda.</w:t>
      </w:r>
    </w:p>
    <w:p w14:paraId="3C5F9C25" w14:textId="55E48008"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412320">
        <w:rPr>
          <w:rFonts w:eastAsia="Lucida Sans Unicode"/>
        </w:rPr>
        <w:t>individuālo dzīvojamo māju apbūve (NĪLM kods 0601)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8169FC" w:rsidRPr="00ED2C60">
        <w:rPr>
          <w:color w:val="000000" w:themeColor="text1"/>
        </w:rPr>
        <w:t xml:space="preserve">zemes vienība atrodas </w:t>
      </w:r>
      <w:r w:rsidR="00B360A4">
        <w:rPr>
          <w:color w:val="000000" w:themeColor="text1"/>
        </w:rPr>
        <w:t xml:space="preserve">vasarnīcu un dārza māju apbūves teritorijā DzS3 </w:t>
      </w:r>
      <w:r w:rsidRPr="008A3403">
        <w:rPr>
          <w:rFonts w:eastAsia="Lucida Sans Unicode"/>
        </w:rPr>
        <w:t>.</w:t>
      </w:r>
    </w:p>
    <w:p w14:paraId="56AF6D6E" w14:textId="03E70CF4"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445BF5">
        <w:rPr>
          <w:lang w:eastAsia="zh-CN"/>
        </w:rPr>
        <w:t xml:space="preserve">zemes nomas līgums </w:t>
      </w:r>
      <w:r w:rsidR="00445BF5">
        <w:rPr>
          <w:rFonts w:eastAsia="Lucida Sans Unicode"/>
          <w:bCs/>
        </w:rPr>
        <w:t>ar termiņu līdz 2024.gada 31. decembrim</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312D4BFC"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81974135"/>
      <w:r w:rsidR="00445BF5" w:rsidRPr="00167055">
        <w:rPr>
          <w:b/>
          <w:color w:val="000000" w:themeColor="text1"/>
          <w:lang w:eastAsia="zh-CN"/>
        </w:rPr>
        <w:t>0</w:t>
      </w:r>
      <w:r w:rsidR="00167055" w:rsidRPr="00167055">
        <w:rPr>
          <w:b/>
          <w:color w:val="000000" w:themeColor="text1"/>
          <w:lang w:eastAsia="zh-CN"/>
        </w:rPr>
        <w:t>3</w:t>
      </w:r>
      <w:r w:rsidR="005B4015" w:rsidRPr="00167055">
        <w:rPr>
          <w:b/>
          <w:color w:val="000000" w:themeColor="text1"/>
          <w:lang w:eastAsia="zh-CN"/>
        </w:rPr>
        <w:t>.</w:t>
      </w:r>
      <w:r w:rsidR="00445BF5" w:rsidRPr="00167055">
        <w:rPr>
          <w:b/>
          <w:color w:val="000000" w:themeColor="text1"/>
          <w:lang w:eastAsia="zh-CN"/>
        </w:rPr>
        <w:t>0</w:t>
      </w:r>
      <w:r w:rsidR="00167055" w:rsidRPr="00167055">
        <w:rPr>
          <w:b/>
          <w:color w:val="000000" w:themeColor="text1"/>
          <w:lang w:eastAsia="zh-CN"/>
        </w:rPr>
        <w:t>2</w:t>
      </w:r>
      <w:r w:rsidR="005B4015" w:rsidRPr="00167055">
        <w:rPr>
          <w:b/>
          <w:color w:val="000000" w:themeColor="text1"/>
          <w:lang w:eastAsia="zh-CN"/>
        </w:rPr>
        <w:t>.202</w:t>
      </w:r>
      <w:bookmarkEnd w:id="1"/>
      <w:r w:rsidR="00445BF5" w:rsidRPr="00167055">
        <w:rPr>
          <w:b/>
          <w:color w:val="000000" w:themeColor="text1"/>
          <w:lang w:eastAsia="zh-CN"/>
        </w:rPr>
        <w:t>5</w:t>
      </w:r>
      <w:bookmarkEnd w:id="2"/>
      <w:r w:rsidRPr="00BA72D3">
        <w:rPr>
          <w:b/>
          <w:color w:val="000000" w:themeColor="text1"/>
          <w:lang w:eastAsia="zh-CN"/>
        </w:rPr>
        <w:t>.</w:t>
      </w:r>
      <w:r w:rsidRPr="002A61AB">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6660D841"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167055" w:rsidRPr="00167055">
        <w:rPr>
          <w:b/>
          <w:color w:val="000000" w:themeColor="text1"/>
          <w:lang w:eastAsia="zh-CN"/>
        </w:rPr>
        <w:t>03.02.2025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445BF5">
        <w:rPr>
          <w:b/>
          <w:bCs/>
        </w:rPr>
        <w:t>30</w:t>
      </w:r>
      <w:r w:rsidR="009911FF">
        <w:rPr>
          <w:b/>
          <w:bCs/>
        </w:rPr>
        <w:t>0</w:t>
      </w:r>
      <w:r w:rsidR="001328EC" w:rsidRPr="00427391">
        <w:rPr>
          <w:b/>
          <w:bCs/>
        </w:rPr>
        <w:t xml:space="preserve">,00 </w:t>
      </w:r>
      <w:proofErr w:type="spellStart"/>
      <w:r w:rsidR="00BD6D6B" w:rsidRPr="00427391">
        <w:rPr>
          <w:b/>
          <w:bCs/>
          <w:i/>
          <w:iCs/>
          <w:color w:val="000000" w:themeColor="text1"/>
          <w:lang w:eastAsia="zh-CN"/>
        </w:rPr>
        <w:t>euro</w:t>
      </w:r>
      <w:proofErr w:type="spellEnd"/>
      <w:r w:rsidR="001328EC" w:rsidRPr="00427391">
        <w:t xml:space="preserve"> (</w:t>
      </w:r>
      <w:r w:rsidR="00445BF5">
        <w:t>trīs</w:t>
      </w:r>
      <w:r w:rsidR="00981EFE">
        <w:t xml:space="preserve"> simt</w:t>
      </w:r>
      <w:r w:rsidR="009911FF">
        <w:t>i</w:t>
      </w:r>
      <w:r w:rsidR="006D0106">
        <w:t xml:space="preserve"> </w:t>
      </w:r>
      <w:r w:rsidR="001328EC" w:rsidRPr="00427391">
        <w:t xml:space="preserve">eiro </w:t>
      </w:r>
      <w:r w:rsidR="001328EC" w:rsidRPr="00427391">
        <w:rPr>
          <w:rFonts w:eastAsia="Lucida Sans Unicode"/>
          <w:noProof/>
        </w:rPr>
        <w:t>un 00 centi)</w:t>
      </w:r>
      <w:r w:rsidR="009911FF">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7FC0F392"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r w:rsidR="007658EC">
        <w:rPr>
          <w:b/>
          <w:bCs/>
          <w:color w:val="000000" w:themeColor="text1"/>
          <w:lang w:eastAsia="zh-CN"/>
        </w:rPr>
        <w:t xml:space="preserve">D/s </w:t>
      </w:r>
      <w:r w:rsidR="004B1F52">
        <w:rPr>
          <w:b/>
          <w:bCs/>
          <w:color w:val="000000" w:themeColor="text1"/>
          <w:lang w:eastAsia="zh-CN"/>
        </w:rPr>
        <w:t>Veselība Nr. 179</w:t>
      </w:r>
      <w:r w:rsidR="0073738E">
        <w:rPr>
          <w:b/>
          <w:bCs/>
          <w:color w:val="000000" w:themeColor="text1"/>
          <w:lang w:eastAsia="zh-CN"/>
        </w:rPr>
        <w:t xml:space="preserve">”, </w:t>
      </w:r>
      <w:r w:rsidR="007658EC">
        <w:rPr>
          <w:b/>
          <w:bCs/>
          <w:color w:val="000000" w:themeColor="text1"/>
          <w:lang w:eastAsia="zh-CN"/>
        </w:rPr>
        <w:t>Ābeļu</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12492815"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167055" w:rsidRPr="00167055">
        <w:rPr>
          <w:b/>
          <w:color w:val="000000" w:themeColor="text1"/>
          <w:lang w:eastAsia="zh-CN"/>
        </w:rPr>
        <w:t>14.01.2025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167055" w:rsidRPr="00167055">
        <w:rPr>
          <w:b/>
          <w:color w:val="000000" w:themeColor="text1"/>
          <w:lang w:eastAsia="zh-CN"/>
        </w:rPr>
        <w:t>03.02.2025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660B2F40"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167055" w:rsidRPr="00167055">
        <w:rPr>
          <w:b/>
          <w:color w:val="000000" w:themeColor="text1"/>
          <w:lang w:eastAsia="zh-CN"/>
        </w:rPr>
        <w:t>14.01.2025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82208693"/>
      <w:r w:rsidR="00167055" w:rsidRPr="00167055">
        <w:rPr>
          <w:b/>
          <w:color w:val="000000" w:themeColor="text1"/>
          <w:lang w:eastAsia="zh-CN"/>
        </w:rPr>
        <w:t>1</w:t>
      </w:r>
      <w:r w:rsidR="00167055">
        <w:rPr>
          <w:b/>
          <w:color w:val="000000" w:themeColor="text1"/>
          <w:lang w:eastAsia="zh-CN"/>
        </w:rPr>
        <w:t>3</w:t>
      </w:r>
      <w:r w:rsidR="00445BF5" w:rsidRPr="00167055">
        <w:rPr>
          <w:b/>
          <w:color w:val="000000" w:themeColor="text1"/>
          <w:lang w:eastAsia="zh-CN"/>
        </w:rPr>
        <w:t>.0</w:t>
      </w:r>
      <w:r w:rsidR="00167055">
        <w:rPr>
          <w:b/>
          <w:color w:val="000000" w:themeColor="text1"/>
          <w:lang w:eastAsia="zh-CN"/>
        </w:rPr>
        <w:t>2</w:t>
      </w:r>
      <w:r w:rsidR="00445BF5" w:rsidRPr="00167055">
        <w:rPr>
          <w:b/>
          <w:color w:val="000000" w:themeColor="text1"/>
          <w:lang w:eastAsia="zh-CN"/>
        </w:rPr>
        <w:t>.2025</w:t>
      </w:r>
      <w:bookmarkEnd w:id="3"/>
      <w:r w:rsidRPr="002A61AB">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08CD5882" w14:textId="77777777" w:rsidR="00C64573" w:rsidRPr="00DE3991" w:rsidRDefault="00C64573" w:rsidP="00C64573">
      <w:pPr>
        <w:tabs>
          <w:tab w:val="right" w:pos="9356"/>
        </w:tabs>
      </w:pPr>
      <w:r w:rsidRPr="00DE3991">
        <w:t>Jēkabpils novada Attīstības pārvaldes vadītāja</w:t>
      </w:r>
      <w:r w:rsidRPr="00DE3991">
        <w:tab/>
        <w:t>B.</w:t>
      </w:r>
      <w:r>
        <w:t xml:space="preserve"> </w:t>
      </w:r>
      <w:proofErr w:type="spellStart"/>
      <w:r w:rsidRPr="00DE3991">
        <w:t>Voltmane</w:t>
      </w:r>
      <w:proofErr w:type="spellEnd"/>
    </w:p>
    <w:p w14:paraId="48C923C8" w14:textId="77777777" w:rsidR="00C64573" w:rsidRPr="000179A8" w:rsidRDefault="00C64573" w:rsidP="00C64573"/>
    <w:p w14:paraId="676E7E1B" w14:textId="77777777" w:rsidR="00C64573" w:rsidRPr="00D37D2A" w:rsidRDefault="00C64573" w:rsidP="00C64573">
      <w:pPr>
        <w:jc w:val="center"/>
        <w:rPr>
          <w:color w:val="808080" w:themeColor="background1" w:themeShade="80"/>
          <w:lang w:eastAsia="lv-LV"/>
        </w:rPr>
      </w:pPr>
      <w:r w:rsidRPr="00D37D2A">
        <w:rPr>
          <w:b/>
          <w:bCs/>
          <w:color w:val="808080" w:themeColor="background1" w:themeShade="80"/>
        </w:rPr>
        <w:t>DOKUMENTS PARAKSTĪTS AR DROŠU ELEKTRONISKO PARAKSTU UN SATUR LAIKA ZĪMOGU</w:t>
      </w:r>
    </w:p>
    <w:p w14:paraId="6EE5084E" w14:textId="77777777" w:rsidR="00476AF9" w:rsidRDefault="00476AF9" w:rsidP="00476AF9">
      <w:pPr>
        <w:rPr>
          <w:color w:val="0070C0"/>
        </w:rPr>
      </w:pPr>
    </w:p>
    <w:p w14:paraId="262E858F" w14:textId="1FA1C0EA" w:rsidR="00DD5090" w:rsidRDefault="00DD5090" w:rsidP="00786533">
      <w:pPr>
        <w:pStyle w:val="naisf"/>
        <w:spacing w:before="0" w:after="0"/>
        <w:ind w:right="43" w:firstLine="0"/>
      </w:pPr>
    </w:p>
    <w:sectPr w:rsidR="00DD5090"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4A8C" w14:textId="77777777" w:rsidR="0096129A" w:rsidRDefault="0096129A">
      <w:r>
        <w:separator/>
      </w:r>
    </w:p>
  </w:endnote>
  <w:endnote w:type="continuationSeparator" w:id="0">
    <w:p w14:paraId="03D8AB18" w14:textId="77777777" w:rsidR="0096129A" w:rsidRDefault="0096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D9F6" w14:textId="77777777" w:rsidR="0096129A" w:rsidRDefault="0096129A">
      <w:r>
        <w:separator/>
      </w:r>
    </w:p>
  </w:footnote>
  <w:footnote w:type="continuationSeparator" w:id="0">
    <w:p w14:paraId="24848407" w14:textId="77777777" w:rsidR="0096129A" w:rsidRDefault="0096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79DE"/>
    <w:rsid w:val="00067BF5"/>
    <w:rsid w:val="00070A2D"/>
    <w:rsid w:val="00080B93"/>
    <w:rsid w:val="000869BB"/>
    <w:rsid w:val="00087824"/>
    <w:rsid w:val="00091975"/>
    <w:rsid w:val="000939AC"/>
    <w:rsid w:val="00093ECE"/>
    <w:rsid w:val="000961C5"/>
    <w:rsid w:val="000972EB"/>
    <w:rsid w:val="000A5E17"/>
    <w:rsid w:val="000B0AE7"/>
    <w:rsid w:val="000B5876"/>
    <w:rsid w:val="000B69BE"/>
    <w:rsid w:val="000C17CB"/>
    <w:rsid w:val="000C404D"/>
    <w:rsid w:val="000C5838"/>
    <w:rsid w:val="000C612E"/>
    <w:rsid w:val="000C61AE"/>
    <w:rsid w:val="000C725E"/>
    <w:rsid w:val="000D056C"/>
    <w:rsid w:val="000E29B3"/>
    <w:rsid w:val="000E32E6"/>
    <w:rsid w:val="000E502E"/>
    <w:rsid w:val="000E6482"/>
    <w:rsid w:val="000E7E0C"/>
    <w:rsid w:val="000F0392"/>
    <w:rsid w:val="000F0A10"/>
    <w:rsid w:val="000F4D92"/>
    <w:rsid w:val="0010435B"/>
    <w:rsid w:val="001049D5"/>
    <w:rsid w:val="001059B1"/>
    <w:rsid w:val="001132B8"/>
    <w:rsid w:val="00120302"/>
    <w:rsid w:val="0012632C"/>
    <w:rsid w:val="00126D2D"/>
    <w:rsid w:val="00132583"/>
    <w:rsid w:val="001328EC"/>
    <w:rsid w:val="00132A8E"/>
    <w:rsid w:val="00133EDE"/>
    <w:rsid w:val="0014206F"/>
    <w:rsid w:val="001429C2"/>
    <w:rsid w:val="00143BDB"/>
    <w:rsid w:val="00152E9C"/>
    <w:rsid w:val="00153AD6"/>
    <w:rsid w:val="00153DCC"/>
    <w:rsid w:val="00160599"/>
    <w:rsid w:val="0016166A"/>
    <w:rsid w:val="00167055"/>
    <w:rsid w:val="001742A6"/>
    <w:rsid w:val="00180654"/>
    <w:rsid w:val="00180E2B"/>
    <w:rsid w:val="00181082"/>
    <w:rsid w:val="001814CE"/>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D4A06"/>
    <w:rsid w:val="001E04C9"/>
    <w:rsid w:val="001E6983"/>
    <w:rsid w:val="001F0328"/>
    <w:rsid w:val="001F2B43"/>
    <w:rsid w:val="001F4F0D"/>
    <w:rsid w:val="002003C7"/>
    <w:rsid w:val="00203DC2"/>
    <w:rsid w:val="0020445C"/>
    <w:rsid w:val="00204F92"/>
    <w:rsid w:val="00205FEE"/>
    <w:rsid w:val="00207099"/>
    <w:rsid w:val="00207E24"/>
    <w:rsid w:val="002124BA"/>
    <w:rsid w:val="002129C4"/>
    <w:rsid w:val="00213CAC"/>
    <w:rsid w:val="00214CD7"/>
    <w:rsid w:val="0022180A"/>
    <w:rsid w:val="00223803"/>
    <w:rsid w:val="00225EB2"/>
    <w:rsid w:val="002302B1"/>
    <w:rsid w:val="00240777"/>
    <w:rsid w:val="00243D95"/>
    <w:rsid w:val="00244115"/>
    <w:rsid w:val="002462DD"/>
    <w:rsid w:val="00260704"/>
    <w:rsid w:val="00261E8B"/>
    <w:rsid w:val="00263F66"/>
    <w:rsid w:val="0027046B"/>
    <w:rsid w:val="0027160A"/>
    <w:rsid w:val="0027200A"/>
    <w:rsid w:val="002721B7"/>
    <w:rsid w:val="002724AE"/>
    <w:rsid w:val="00273C8E"/>
    <w:rsid w:val="002743BB"/>
    <w:rsid w:val="002766B4"/>
    <w:rsid w:val="00280656"/>
    <w:rsid w:val="00282047"/>
    <w:rsid w:val="00283B89"/>
    <w:rsid w:val="002840CD"/>
    <w:rsid w:val="00290F04"/>
    <w:rsid w:val="00292603"/>
    <w:rsid w:val="00293A4F"/>
    <w:rsid w:val="00296F96"/>
    <w:rsid w:val="002A33B7"/>
    <w:rsid w:val="002A5CAE"/>
    <w:rsid w:val="002A61AB"/>
    <w:rsid w:val="002A7686"/>
    <w:rsid w:val="002B3BA7"/>
    <w:rsid w:val="002B57A0"/>
    <w:rsid w:val="002B5DDE"/>
    <w:rsid w:val="002B70F8"/>
    <w:rsid w:val="002C061B"/>
    <w:rsid w:val="002C0B14"/>
    <w:rsid w:val="002C114F"/>
    <w:rsid w:val="002C11DE"/>
    <w:rsid w:val="002C2D26"/>
    <w:rsid w:val="002D0B7F"/>
    <w:rsid w:val="002D1EA0"/>
    <w:rsid w:val="002D23F9"/>
    <w:rsid w:val="002D636D"/>
    <w:rsid w:val="002D7A72"/>
    <w:rsid w:val="002E1EF0"/>
    <w:rsid w:val="002E250B"/>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2A9B"/>
    <w:rsid w:val="00365323"/>
    <w:rsid w:val="00367815"/>
    <w:rsid w:val="003705B5"/>
    <w:rsid w:val="00371C4A"/>
    <w:rsid w:val="00376741"/>
    <w:rsid w:val="00377F6A"/>
    <w:rsid w:val="003817C4"/>
    <w:rsid w:val="00387E92"/>
    <w:rsid w:val="00390AF9"/>
    <w:rsid w:val="0039387E"/>
    <w:rsid w:val="00394751"/>
    <w:rsid w:val="00395D12"/>
    <w:rsid w:val="00396CA1"/>
    <w:rsid w:val="003B3658"/>
    <w:rsid w:val="003B41FB"/>
    <w:rsid w:val="003C38D4"/>
    <w:rsid w:val="003C5FD2"/>
    <w:rsid w:val="003D6606"/>
    <w:rsid w:val="003D668E"/>
    <w:rsid w:val="003E0799"/>
    <w:rsid w:val="003E0AC7"/>
    <w:rsid w:val="003E5A3D"/>
    <w:rsid w:val="003F2B7D"/>
    <w:rsid w:val="003F7187"/>
    <w:rsid w:val="00400905"/>
    <w:rsid w:val="00401A44"/>
    <w:rsid w:val="00402B96"/>
    <w:rsid w:val="00403400"/>
    <w:rsid w:val="00403E40"/>
    <w:rsid w:val="00406703"/>
    <w:rsid w:val="00406C61"/>
    <w:rsid w:val="00407E78"/>
    <w:rsid w:val="004101C2"/>
    <w:rsid w:val="00410DFE"/>
    <w:rsid w:val="00412320"/>
    <w:rsid w:val="00413703"/>
    <w:rsid w:val="0041539D"/>
    <w:rsid w:val="004229DC"/>
    <w:rsid w:val="00427391"/>
    <w:rsid w:val="00430971"/>
    <w:rsid w:val="00431991"/>
    <w:rsid w:val="00431D09"/>
    <w:rsid w:val="00432730"/>
    <w:rsid w:val="004341D2"/>
    <w:rsid w:val="00434BBB"/>
    <w:rsid w:val="00437C97"/>
    <w:rsid w:val="004443D1"/>
    <w:rsid w:val="004459F2"/>
    <w:rsid w:val="00445BF5"/>
    <w:rsid w:val="00454EDF"/>
    <w:rsid w:val="004618D7"/>
    <w:rsid w:val="00463550"/>
    <w:rsid w:val="00466B73"/>
    <w:rsid w:val="004768A7"/>
    <w:rsid w:val="00476AF9"/>
    <w:rsid w:val="00480412"/>
    <w:rsid w:val="00480969"/>
    <w:rsid w:val="004821EF"/>
    <w:rsid w:val="00486D18"/>
    <w:rsid w:val="00494B1A"/>
    <w:rsid w:val="004A239E"/>
    <w:rsid w:val="004B0B2A"/>
    <w:rsid w:val="004B1F52"/>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503061"/>
    <w:rsid w:val="0051152B"/>
    <w:rsid w:val="00513242"/>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3F7"/>
    <w:rsid w:val="005B4015"/>
    <w:rsid w:val="005B5298"/>
    <w:rsid w:val="005B7258"/>
    <w:rsid w:val="005C2432"/>
    <w:rsid w:val="005C279F"/>
    <w:rsid w:val="005C3235"/>
    <w:rsid w:val="005D1806"/>
    <w:rsid w:val="005D3797"/>
    <w:rsid w:val="005F358A"/>
    <w:rsid w:val="005F40C9"/>
    <w:rsid w:val="005F5B9A"/>
    <w:rsid w:val="00600AE4"/>
    <w:rsid w:val="0060153F"/>
    <w:rsid w:val="00604A65"/>
    <w:rsid w:val="00606099"/>
    <w:rsid w:val="00611600"/>
    <w:rsid w:val="00612DAD"/>
    <w:rsid w:val="00622996"/>
    <w:rsid w:val="006229CF"/>
    <w:rsid w:val="0062610F"/>
    <w:rsid w:val="00631502"/>
    <w:rsid w:val="00633DBD"/>
    <w:rsid w:val="006348D6"/>
    <w:rsid w:val="00644FC7"/>
    <w:rsid w:val="006456AF"/>
    <w:rsid w:val="00646C84"/>
    <w:rsid w:val="00653EB4"/>
    <w:rsid w:val="006616EE"/>
    <w:rsid w:val="00664FEA"/>
    <w:rsid w:val="006656DC"/>
    <w:rsid w:val="00670227"/>
    <w:rsid w:val="0067683E"/>
    <w:rsid w:val="00682A4C"/>
    <w:rsid w:val="0068460C"/>
    <w:rsid w:val="00684E71"/>
    <w:rsid w:val="00687D9C"/>
    <w:rsid w:val="0069182C"/>
    <w:rsid w:val="00691A63"/>
    <w:rsid w:val="00695CDE"/>
    <w:rsid w:val="00696F86"/>
    <w:rsid w:val="006A1227"/>
    <w:rsid w:val="006A6502"/>
    <w:rsid w:val="006A6A04"/>
    <w:rsid w:val="006A762F"/>
    <w:rsid w:val="006A773C"/>
    <w:rsid w:val="006B1FCE"/>
    <w:rsid w:val="006B632A"/>
    <w:rsid w:val="006C09DE"/>
    <w:rsid w:val="006C0F22"/>
    <w:rsid w:val="006C3F2E"/>
    <w:rsid w:val="006D0106"/>
    <w:rsid w:val="006D105A"/>
    <w:rsid w:val="006D4B9D"/>
    <w:rsid w:val="006D567B"/>
    <w:rsid w:val="006E7A8B"/>
    <w:rsid w:val="006E7EB3"/>
    <w:rsid w:val="006F035C"/>
    <w:rsid w:val="006F0653"/>
    <w:rsid w:val="006F1C2F"/>
    <w:rsid w:val="006F6202"/>
    <w:rsid w:val="0070007D"/>
    <w:rsid w:val="00704D3C"/>
    <w:rsid w:val="007056BB"/>
    <w:rsid w:val="00711798"/>
    <w:rsid w:val="007119C1"/>
    <w:rsid w:val="00711C7B"/>
    <w:rsid w:val="00716850"/>
    <w:rsid w:val="007169E9"/>
    <w:rsid w:val="0071711A"/>
    <w:rsid w:val="007179F7"/>
    <w:rsid w:val="00722756"/>
    <w:rsid w:val="00722CFC"/>
    <w:rsid w:val="007271BA"/>
    <w:rsid w:val="007272F8"/>
    <w:rsid w:val="007273BC"/>
    <w:rsid w:val="00727483"/>
    <w:rsid w:val="00727E01"/>
    <w:rsid w:val="00733666"/>
    <w:rsid w:val="00734D3D"/>
    <w:rsid w:val="0073738E"/>
    <w:rsid w:val="00753E71"/>
    <w:rsid w:val="0075560C"/>
    <w:rsid w:val="007564FB"/>
    <w:rsid w:val="00757B22"/>
    <w:rsid w:val="0076516E"/>
    <w:rsid w:val="007658EC"/>
    <w:rsid w:val="0076697B"/>
    <w:rsid w:val="00767F8A"/>
    <w:rsid w:val="007718EE"/>
    <w:rsid w:val="00772C47"/>
    <w:rsid w:val="007732B5"/>
    <w:rsid w:val="00773510"/>
    <w:rsid w:val="007764D3"/>
    <w:rsid w:val="0078439C"/>
    <w:rsid w:val="0078512A"/>
    <w:rsid w:val="00786533"/>
    <w:rsid w:val="0078798F"/>
    <w:rsid w:val="007900E8"/>
    <w:rsid w:val="0079185D"/>
    <w:rsid w:val="00794A31"/>
    <w:rsid w:val="007968B7"/>
    <w:rsid w:val="007A03DE"/>
    <w:rsid w:val="007A0443"/>
    <w:rsid w:val="007A0A4C"/>
    <w:rsid w:val="007A3291"/>
    <w:rsid w:val="007A7394"/>
    <w:rsid w:val="007B0BB8"/>
    <w:rsid w:val="007B0F3C"/>
    <w:rsid w:val="007B5FDC"/>
    <w:rsid w:val="007D661F"/>
    <w:rsid w:val="007D66D3"/>
    <w:rsid w:val="007D69F2"/>
    <w:rsid w:val="007E09DD"/>
    <w:rsid w:val="007E44BC"/>
    <w:rsid w:val="007E457A"/>
    <w:rsid w:val="007E504A"/>
    <w:rsid w:val="007F05A4"/>
    <w:rsid w:val="007F1A42"/>
    <w:rsid w:val="007F38DC"/>
    <w:rsid w:val="008001B4"/>
    <w:rsid w:val="008002F4"/>
    <w:rsid w:val="00812880"/>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A4A0F"/>
    <w:rsid w:val="008B0AA1"/>
    <w:rsid w:val="008B111D"/>
    <w:rsid w:val="008B3C54"/>
    <w:rsid w:val="008B6E14"/>
    <w:rsid w:val="008C2DFA"/>
    <w:rsid w:val="008D250A"/>
    <w:rsid w:val="008D356D"/>
    <w:rsid w:val="008D4EBC"/>
    <w:rsid w:val="008D5243"/>
    <w:rsid w:val="008E5558"/>
    <w:rsid w:val="008F1E44"/>
    <w:rsid w:val="008F4A9B"/>
    <w:rsid w:val="00901241"/>
    <w:rsid w:val="0090216D"/>
    <w:rsid w:val="009074C6"/>
    <w:rsid w:val="00907BB4"/>
    <w:rsid w:val="00910A66"/>
    <w:rsid w:val="009125E4"/>
    <w:rsid w:val="00912C50"/>
    <w:rsid w:val="0091390F"/>
    <w:rsid w:val="009159C2"/>
    <w:rsid w:val="0092036F"/>
    <w:rsid w:val="009249E8"/>
    <w:rsid w:val="00925889"/>
    <w:rsid w:val="00927C8F"/>
    <w:rsid w:val="00930858"/>
    <w:rsid w:val="00932239"/>
    <w:rsid w:val="009341D0"/>
    <w:rsid w:val="0093479F"/>
    <w:rsid w:val="0093640C"/>
    <w:rsid w:val="00937A99"/>
    <w:rsid w:val="00943F86"/>
    <w:rsid w:val="0094559D"/>
    <w:rsid w:val="009472C5"/>
    <w:rsid w:val="009518CC"/>
    <w:rsid w:val="00951EA9"/>
    <w:rsid w:val="009554D7"/>
    <w:rsid w:val="0096129A"/>
    <w:rsid w:val="009629C5"/>
    <w:rsid w:val="00963652"/>
    <w:rsid w:val="00964C88"/>
    <w:rsid w:val="00965BC0"/>
    <w:rsid w:val="009729D3"/>
    <w:rsid w:val="00973936"/>
    <w:rsid w:val="00975339"/>
    <w:rsid w:val="009756A6"/>
    <w:rsid w:val="00981704"/>
    <w:rsid w:val="00981EFE"/>
    <w:rsid w:val="00981F7A"/>
    <w:rsid w:val="0098632E"/>
    <w:rsid w:val="00987AD2"/>
    <w:rsid w:val="009911FF"/>
    <w:rsid w:val="0099374A"/>
    <w:rsid w:val="00994736"/>
    <w:rsid w:val="00994F2A"/>
    <w:rsid w:val="00996F50"/>
    <w:rsid w:val="009A0168"/>
    <w:rsid w:val="009A13AE"/>
    <w:rsid w:val="009A16FF"/>
    <w:rsid w:val="009A1F45"/>
    <w:rsid w:val="009A2105"/>
    <w:rsid w:val="009A214F"/>
    <w:rsid w:val="009A6AEE"/>
    <w:rsid w:val="009A71BB"/>
    <w:rsid w:val="009B0E88"/>
    <w:rsid w:val="009B59DD"/>
    <w:rsid w:val="009B7D79"/>
    <w:rsid w:val="009C02F2"/>
    <w:rsid w:val="009C0EC7"/>
    <w:rsid w:val="009C11CD"/>
    <w:rsid w:val="009C1C56"/>
    <w:rsid w:val="009C4DF1"/>
    <w:rsid w:val="009C6AB1"/>
    <w:rsid w:val="009D06C7"/>
    <w:rsid w:val="009D0968"/>
    <w:rsid w:val="009D5D76"/>
    <w:rsid w:val="009D68D0"/>
    <w:rsid w:val="009D7FC3"/>
    <w:rsid w:val="009E14C0"/>
    <w:rsid w:val="009E2D52"/>
    <w:rsid w:val="009E381E"/>
    <w:rsid w:val="009E7A17"/>
    <w:rsid w:val="009F56FC"/>
    <w:rsid w:val="009F74BE"/>
    <w:rsid w:val="00A02C3A"/>
    <w:rsid w:val="00A03942"/>
    <w:rsid w:val="00A04294"/>
    <w:rsid w:val="00A075FF"/>
    <w:rsid w:val="00A1057A"/>
    <w:rsid w:val="00A10B44"/>
    <w:rsid w:val="00A12EAB"/>
    <w:rsid w:val="00A13A15"/>
    <w:rsid w:val="00A13A61"/>
    <w:rsid w:val="00A17354"/>
    <w:rsid w:val="00A26142"/>
    <w:rsid w:val="00A2678F"/>
    <w:rsid w:val="00A31313"/>
    <w:rsid w:val="00A35E44"/>
    <w:rsid w:val="00A36058"/>
    <w:rsid w:val="00A36CD3"/>
    <w:rsid w:val="00A374BC"/>
    <w:rsid w:val="00A37FD7"/>
    <w:rsid w:val="00A40125"/>
    <w:rsid w:val="00A55058"/>
    <w:rsid w:val="00A60CEE"/>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22B53"/>
    <w:rsid w:val="00B26CD8"/>
    <w:rsid w:val="00B2780A"/>
    <w:rsid w:val="00B32D91"/>
    <w:rsid w:val="00B3403D"/>
    <w:rsid w:val="00B35FAD"/>
    <w:rsid w:val="00B360A4"/>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1591"/>
    <w:rsid w:val="00B752B7"/>
    <w:rsid w:val="00B77A46"/>
    <w:rsid w:val="00B80306"/>
    <w:rsid w:val="00B80416"/>
    <w:rsid w:val="00B811DE"/>
    <w:rsid w:val="00B845FC"/>
    <w:rsid w:val="00B84913"/>
    <w:rsid w:val="00B8597E"/>
    <w:rsid w:val="00B94582"/>
    <w:rsid w:val="00B9592B"/>
    <w:rsid w:val="00B96BA4"/>
    <w:rsid w:val="00BA5FB0"/>
    <w:rsid w:val="00BA72D3"/>
    <w:rsid w:val="00BC2113"/>
    <w:rsid w:val="00BD0D0B"/>
    <w:rsid w:val="00BD38DA"/>
    <w:rsid w:val="00BD49ED"/>
    <w:rsid w:val="00BD6D6B"/>
    <w:rsid w:val="00BE0A9A"/>
    <w:rsid w:val="00BE1217"/>
    <w:rsid w:val="00BE1A32"/>
    <w:rsid w:val="00BE46AC"/>
    <w:rsid w:val="00BE47F4"/>
    <w:rsid w:val="00BF10DB"/>
    <w:rsid w:val="00BF49CE"/>
    <w:rsid w:val="00BF5189"/>
    <w:rsid w:val="00BF560E"/>
    <w:rsid w:val="00BF5E62"/>
    <w:rsid w:val="00C03DC9"/>
    <w:rsid w:val="00C066E2"/>
    <w:rsid w:val="00C06DDF"/>
    <w:rsid w:val="00C07874"/>
    <w:rsid w:val="00C11164"/>
    <w:rsid w:val="00C11F00"/>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573"/>
    <w:rsid w:val="00C64CA4"/>
    <w:rsid w:val="00C65893"/>
    <w:rsid w:val="00C6667B"/>
    <w:rsid w:val="00C67948"/>
    <w:rsid w:val="00C67EBD"/>
    <w:rsid w:val="00C83129"/>
    <w:rsid w:val="00C84D8D"/>
    <w:rsid w:val="00C84F9F"/>
    <w:rsid w:val="00C91773"/>
    <w:rsid w:val="00C94D36"/>
    <w:rsid w:val="00C95C13"/>
    <w:rsid w:val="00C95C73"/>
    <w:rsid w:val="00CA0AB7"/>
    <w:rsid w:val="00CA17A8"/>
    <w:rsid w:val="00CA2432"/>
    <w:rsid w:val="00CA2C05"/>
    <w:rsid w:val="00CA716E"/>
    <w:rsid w:val="00CC19FD"/>
    <w:rsid w:val="00CC47D4"/>
    <w:rsid w:val="00CC52D9"/>
    <w:rsid w:val="00CC5B3D"/>
    <w:rsid w:val="00CD0F95"/>
    <w:rsid w:val="00CD2ACB"/>
    <w:rsid w:val="00CD3C98"/>
    <w:rsid w:val="00CD3CE3"/>
    <w:rsid w:val="00CE1697"/>
    <w:rsid w:val="00CE47E8"/>
    <w:rsid w:val="00CE654D"/>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506CA"/>
    <w:rsid w:val="00D50D77"/>
    <w:rsid w:val="00D64E8F"/>
    <w:rsid w:val="00D64FA4"/>
    <w:rsid w:val="00D6685D"/>
    <w:rsid w:val="00D66FC2"/>
    <w:rsid w:val="00D734A9"/>
    <w:rsid w:val="00D85457"/>
    <w:rsid w:val="00D87193"/>
    <w:rsid w:val="00D9175A"/>
    <w:rsid w:val="00D91A86"/>
    <w:rsid w:val="00D92CD3"/>
    <w:rsid w:val="00D94378"/>
    <w:rsid w:val="00D958E5"/>
    <w:rsid w:val="00D96A90"/>
    <w:rsid w:val="00DB50AC"/>
    <w:rsid w:val="00DC38A8"/>
    <w:rsid w:val="00DC400E"/>
    <w:rsid w:val="00DC40DB"/>
    <w:rsid w:val="00DC4900"/>
    <w:rsid w:val="00DC620F"/>
    <w:rsid w:val="00DD2082"/>
    <w:rsid w:val="00DD3AA3"/>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30325"/>
    <w:rsid w:val="00E32167"/>
    <w:rsid w:val="00E32841"/>
    <w:rsid w:val="00E357EE"/>
    <w:rsid w:val="00E42068"/>
    <w:rsid w:val="00E4332C"/>
    <w:rsid w:val="00E46073"/>
    <w:rsid w:val="00E47273"/>
    <w:rsid w:val="00E53CDF"/>
    <w:rsid w:val="00E55D68"/>
    <w:rsid w:val="00E56E29"/>
    <w:rsid w:val="00E64CBF"/>
    <w:rsid w:val="00E71759"/>
    <w:rsid w:val="00E72C4A"/>
    <w:rsid w:val="00E72E25"/>
    <w:rsid w:val="00E75C86"/>
    <w:rsid w:val="00E7702C"/>
    <w:rsid w:val="00E80A23"/>
    <w:rsid w:val="00E8116D"/>
    <w:rsid w:val="00E81827"/>
    <w:rsid w:val="00E86101"/>
    <w:rsid w:val="00E86C02"/>
    <w:rsid w:val="00E923C9"/>
    <w:rsid w:val="00E92B31"/>
    <w:rsid w:val="00E94108"/>
    <w:rsid w:val="00E95BDB"/>
    <w:rsid w:val="00EA2569"/>
    <w:rsid w:val="00EA309C"/>
    <w:rsid w:val="00EA411A"/>
    <w:rsid w:val="00EA4CAC"/>
    <w:rsid w:val="00EA7111"/>
    <w:rsid w:val="00EA743B"/>
    <w:rsid w:val="00EB3EA1"/>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471A"/>
    <w:rsid w:val="00EF688D"/>
    <w:rsid w:val="00F03BA4"/>
    <w:rsid w:val="00F10F7F"/>
    <w:rsid w:val="00F12729"/>
    <w:rsid w:val="00F17D65"/>
    <w:rsid w:val="00F24CA6"/>
    <w:rsid w:val="00F251EF"/>
    <w:rsid w:val="00F2587C"/>
    <w:rsid w:val="00F25C5A"/>
    <w:rsid w:val="00F306D5"/>
    <w:rsid w:val="00F37019"/>
    <w:rsid w:val="00F407E4"/>
    <w:rsid w:val="00F421F8"/>
    <w:rsid w:val="00F52B01"/>
    <w:rsid w:val="00F52D66"/>
    <w:rsid w:val="00F5542D"/>
    <w:rsid w:val="00F57492"/>
    <w:rsid w:val="00F60283"/>
    <w:rsid w:val="00F67DBB"/>
    <w:rsid w:val="00F74534"/>
    <w:rsid w:val="00F77310"/>
    <w:rsid w:val="00F80C77"/>
    <w:rsid w:val="00F8567C"/>
    <w:rsid w:val="00F857D8"/>
    <w:rsid w:val="00F85CB3"/>
    <w:rsid w:val="00F8738D"/>
    <w:rsid w:val="00F94312"/>
    <w:rsid w:val="00FA1CB9"/>
    <w:rsid w:val="00FA588D"/>
    <w:rsid w:val="00FA7ACC"/>
    <w:rsid w:val="00FB1192"/>
    <w:rsid w:val="00FB20BE"/>
    <w:rsid w:val="00FB7F07"/>
    <w:rsid w:val="00FC0B0A"/>
    <w:rsid w:val="00FC5E5D"/>
    <w:rsid w:val="00FD1363"/>
    <w:rsid w:val="00FD16C7"/>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C04BD7E-4385-4D4E-A8CF-6C4908B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 w:id="18838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11705</Words>
  <Characters>6673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20</cp:revision>
  <dcterms:created xsi:type="dcterms:W3CDTF">2023-08-29T11:24:00Z</dcterms:created>
  <dcterms:modified xsi:type="dcterms:W3CDTF">2024-11-11T13:35:00Z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